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4BA6" w14:textId="77777777" w:rsidR="00EE0C21" w:rsidRDefault="00650D66" w:rsidP="00650D66">
      <w:pPr>
        <w:pStyle w:val="berschrift3"/>
        <w:numPr>
          <w:ilvl w:val="0"/>
          <w:numId w:val="0"/>
        </w:numPr>
      </w:pPr>
      <w:bookmarkStart w:id="0" w:name="_Toc225249150"/>
      <w:r>
        <w:t xml:space="preserve">2.1.4. </w:t>
      </w:r>
      <w:r w:rsidR="00EE0C21">
        <w:t>Das Michelson-Morley-Experiment</w:t>
      </w:r>
      <w:bookmarkEnd w:id="0"/>
    </w:p>
    <w:p w14:paraId="7C3AEB21" w14:textId="77777777" w:rsidR="00EE0C21" w:rsidRDefault="00EE0C21" w:rsidP="00EE0C21"/>
    <w:p w14:paraId="7B5B4A4B" w14:textId="77777777" w:rsidR="00EE0C21" w:rsidRDefault="00EE0C21" w:rsidP="005D3FD8">
      <w:pPr>
        <w:jc w:val="both"/>
      </w:pPr>
      <w:r>
        <w:t>Zum Nachweis des ruhenden Äthers führten die Physiker Albert Michelson (1852 – 1931) und Edward Morley (1831 – 1923) das nach ihnen benannte Experiment durch.</w:t>
      </w:r>
    </w:p>
    <w:p w14:paraId="783E2271" w14:textId="77777777" w:rsidR="00EE0C21" w:rsidRDefault="00886FE2" w:rsidP="005D3FD8">
      <w:pPr>
        <w:pStyle w:val="Listenabsatz"/>
        <w:numPr>
          <w:ilvl w:val="0"/>
          <w:numId w:val="29"/>
        </w:numPr>
        <w:jc w:val="both"/>
      </w:pPr>
      <w:r w:rsidRPr="005C766A">
        <w:rPr>
          <w:noProof/>
        </w:rPr>
        <w:drawing>
          <wp:anchor distT="0" distB="0" distL="114300" distR="114300" simplePos="0" relativeHeight="251666432" behindDoc="0" locked="0" layoutInCell="1" allowOverlap="1" wp14:anchorId="68394E24" wp14:editId="7977B7C1">
            <wp:simplePos x="0" y="0"/>
            <wp:positionH relativeFrom="column">
              <wp:align>right</wp:align>
            </wp:positionH>
            <wp:positionV relativeFrom="paragraph">
              <wp:posOffset>9525</wp:posOffset>
            </wp:positionV>
            <wp:extent cx="2160000" cy="1206750"/>
            <wp:effectExtent l="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20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C21">
        <w:t>Das von einer Lichtquelle ausgehende Licht wird von einem halbdurchlässigen Spiegel S in zwei Anteile zerlegt.</w:t>
      </w:r>
    </w:p>
    <w:p w14:paraId="02BC4B5B" w14:textId="77777777" w:rsidR="00EE0C21" w:rsidRDefault="00EE0C21" w:rsidP="005D3FD8">
      <w:pPr>
        <w:numPr>
          <w:ilvl w:val="0"/>
          <w:numId w:val="29"/>
        </w:numPr>
        <w:jc w:val="both"/>
      </w:pPr>
      <w:r>
        <w:t>Ein Teil läuft zu S</w:t>
      </w:r>
      <w:r>
        <w:rPr>
          <w:vertAlign w:val="subscript"/>
        </w:rPr>
        <w:t>1</w:t>
      </w:r>
      <w:r>
        <w:t>, wird dort reflektiert, gelangt zurück zu S und von da aus zu einem Fernrohr.</w:t>
      </w:r>
    </w:p>
    <w:p w14:paraId="0CA390BE" w14:textId="77777777" w:rsidR="00EE0C21" w:rsidRDefault="00EE0C21" w:rsidP="005D3FD8">
      <w:pPr>
        <w:numPr>
          <w:ilvl w:val="0"/>
          <w:numId w:val="29"/>
        </w:numPr>
        <w:jc w:val="both"/>
      </w:pPr>
      <w:r>
        <w:t>Der andere Teil läuft zu S</w:t>
      </w:r>
      <w:r>
        <w:rPr>
          <w:vertAlign w:val="subscript"/>
        </w:rPr>
        <w:t>2</w:t>
      </w:r>
      <w:r>
        <w:t>, wird reflektiert, kommt zurück zu S und geht dann ebenfalls zum Fernrohr.</w:t>
      </w:r>
    </w:p>
    <w:p w14:paraId="79F482B8" w14:textId="77777777" w:rsidR="00EE0C21" w:rsidRDefault="00EE0C21" w:rsidP="005D3FD8">
      <w:pPr>
        <w:numPr>
          <w:ilvl w:val="0"/>
          <w:numId w:val="29"/>
        </w:numPr>
        <w:jc w:val="both"/>
      </w:pPr>
      <w:r>
        <w:t>Dort kommt es zu einer Überlagerung der Anteile. Es entsteht ein Interferenzmuster.</w:t>
      </w:r>
    </w:p>
    <w:p w14:paraId="3447B86F" w14:textId="77777777" w:rsidR="00EE0C21" w:rsidRDefault="00EE0C21" w:rsidP="005D3FD8">
      <w:pPr>
        <w:jc w:val="both"/>
      </w:pPr>
    </w:p>
    <w:p w14:paraId="3E7B3EBC" w14:textId="77777777" w:rsidR="00EE0C21" w:rsidRDefault="00EE0C21" w:rsidP="005D3FD8">
      <w:pPr>
        <w:jc w:val="both"/>
      </w:pPr>
      <w:r>
        <w:t>Es wurde folgendes Versuchsergebnis erwartet:</w:t>
      </w:r>
    </w:p>
    <w:p w14:paraId="192285EB" w14:textId="77777777" w:rsidR="00EE0C21" w:rsidRDefault="00EE0C21" w:rsidP="005D3FD8">
      <w:pPr>
        <w:jc w:val="both"/>
      </w:pPr>
      <w:r>
        <w:t>Das Michelson-Interferometer wurde so ausgerichtet, dass SS</w:t>
      </w:r>
      <w:r>
        <w:rPr>
          <w:vertAlign w:val="subscript"/>
        </w:rPr>
        <w:t>1</w:t>
      </w:r>
      <w:r>
        <w:t xml:space="preserve"> genau in Richtung der Erdbewegung durch den ruhenden Äther verläuft. </w:t>
      </w:r>
      <w:r w:rsidR="00F7110B">
        <w:t>Durch die unterschiedlichen Lichtgeschwindigkeiten im Äther</w:t>
      </w:r>
      <w:r>
        <w:t xml:space="preserve"> haben die beiden Anteile unterschiedliche Laufzeiten.</w:t>
      </w:r>
    </w:p>
    <w:p w14:paraId="5C78571F" w14:textId="77777777" w:rsidR="00EE0C21" w:rsidRDefault="00EE0C21" w:rsidP="00EE0C21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524"/>
        <w:gridCol w:w="4538"/>
      </w:tblGrid>
      <w:tr w:rsidR="00EE0C21" w14:paraId="43A4F8A5" w14:textId="77777777" w:rsidTr="00557F64">
        <w:tc>
          <w:tcPr>
            <w:tcW w:w="4605" w:type="dxa"/>
          </w:tcPr>
          <w:p w14:paraId="0FB3166F" w14:textId="77777777" w:rsidR="00EE0C21" w:rsidRDefault="00EE0C21" w:rsidP="00557F64">
            <w:pPr>
              <w:jc w:val="center"/>
            </w:pPr>
            <w:r>
              <w:t>Anteil 1</w:t>
            </w:r>
          </w:p>
        </w:tc>
        <w:tc>
          <w:tcPr>
            <w:tcW w:w="4605" w:type="dxa"/>
          </w:tcPr>
          <w:p w14:paraId="64704F74" w14:textId="77777777" w:rsidR="00EE0C21" w:rsidRDefault="00EE0C21" w:rsidP="00557F64">
            <w:pPr>
              <w:jc w:val="center"/>
            </w:pPr>
            <w:r>
              <w:t>Anteil 2</w:t>
            </w:r>
          </w:p>
        </w:tc>
      </w:tr>
      <w:tr w:rsidR="00EE0C21" w14:paraId="41B21E2D" w14:textId="77777777" w:rsidTr="00557F64">
        <w:tc>
          <w:tcPr>
            <w:tcW w:w="4605" w:type="dxa"/>
          </w:tcPr>
          <w:p w14:paraId="2AE3B42D" w14:textId="77777777" w:rsidR="00EE0C21" w:rsidRDefault="00EE0C21" w:rsidP="00557F64">
            <w:r>
              <w:t xml:space="preserve">S </w:t>
            </w:r>
            <w:r>
              <w:sym w:font="Wingdings" w:char="F0E0"/>
            </w:r>
            <w:r>
              <w:t xml:space="preserve"> S</w:t>
            </w:r>
            <w:r>
              <w:rPr>
                <w:vertAlign w:val="subscript"/>
              </w:rPr>
              <w:t>1</w:t>
            </w:r>
          </w:p>
          <w:p w14:paraId="7C83DAD7" w14:textId="77777777" w:rsidR="00EE0C21" w:rsidRPr="00747ABB" w:rsidRDefault="00EE0C21" w:rsidP="00557F64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0D170E9" wp14:editId="7DE54F9E">
                  <wp:simplePos x="0" y="0"/>
                  <wp:positionH relativeFrom="column">
                    <wp:posOffset>1523365</wp:posOffset>
                  </wp:positionH>
                  <wp:positionV relativeFrom="paragraph">
                    <wp:posOffset>-67945</wp:posOffset>
                  </wp:positionV>
                  <wp:extent cx="1080135" cy="446405"/>
                  <wp:effectExtent l="0" t="0" r="5715" b="0"/>
                  <wp:wrapSquare wrapText="bothSides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0D66" w:rsidRPr="00650D66">
              <w:rPr>
                <w:position w:val="-22"/>
              </w:rPr>
              <w:object w:dxaOrig="980" w:dyaOrig="580" w14:anchorId="612C4A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29.25pt" o:ole="">
                  <v:imagedata r:id="rId10" o:title=""/>
                </v:shape>
                <o:OLEObject Type="Embed" ProgID="Equation.DSMT4" ShapeID="_x0000_i1025" DrawAspect="Content" ObjectID="_1705770313" r:id="rId11"/>
              </w:object>
            </w:r>
          </w:p>
        </w:tc>
        <w:tc>
          <w:tcPr>
            <w:tcW w:w="4605" w:type="dxa"/>
          </w:tcPr>
          <w:p w14:paraId="696F68A8" w14:textId="77777777" w:rsidR="00EE0C21" w:rsidRDefault="00EE0C21" w:rsidP="00557F64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B2D1790" wp14:editId="0BEDEA59">
                  <wp:simplePos x="0" y="0"/>
                  <wp:positionH relativeFrom="column">
                    <wp:posOffset>2251075</wp:posOffset>
                  </wp:positionH>
                  <wp:positionV relativeFrom="paragraph">
                    <wp:posOffset>33020</wp:posOffset>
                  </wp:positionV>
                  <wp:extent cx="552450" cy="904875"/>
                  <wp:effectExtent l="0" t="0" r="0" b="9525"/>
                  <wp:wrapSquare wrapText="bothSides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 </w:t>
            </w:r>
            <w:r>
              <w:sym w:font="Wingdings" w:char="F0E0"/>
            </w:r>
            <w:r>
              <w:t xml:space="preserve"> S</w:t>
            </w:r>
            <w:r>
              <w:rPr>
                <w:vertAlign w:val="subscript"/>
              </w:rPr>
              <w:t>2</w:t>
            </w:r>
          </w:p>
          <w:p w14:paraId="720EED4A" w14:textId="77777777" w:rsidR="00EE0C21" w:rsidRPr="00747ABB" w:rsidRDefault="00886FE2" w:rsidP="00557F64">
            <w:r w:rsidRPr="00886FE2">
              <w:rPr>
                <w:position w:val="-28"/>
              </w:rPr>
              <w:object w:dxaOrig="1340" w:dyaOrig="639" w14:anchorId="414415B3">
                <v:shape id="_x0000_i1026" type="#_x0000_t75" style="width:66.75pt;height:32.25pt" o:ole="">
                  <v:imagedata r:id="rId13" o:title=""/>
                </v:shape>
                <o:OLEObject Type="Embed" ProgID="Equation.DSMT4" ShapeID="_x0000_i1026" DrawAspect="Content" ObjectID="_1705770314" r:id="rId14"/>
              </w:object>
            </w:r>
          </w:p>
        </w:tc>
      </w:tr>
      <w:tr w:rsidR="00EE0C21" w14:paraId="381E2ABC" w14:textId="77777777" w:rsidTr="00557F64">
        <w:tc>
          <w:tcPr>
            <w:tcW w:w="4605" w:type="dxa"/>
          </w:tcPr>
          <w:p w14:paraId="693C8C92" w14:textId="77777777" w:rsidR="00EE0C21" w:rsidRDefault="00EE0C21" w:rsidP="00557F64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C0144CC" wp14:editId="07B93EF9">
                  <wp:simplePos x="0" y="0"/>
                  <wp:positionH relativeFrom="column">
                    <wp:posOffset>1617980</wp:posOffset>
                  </wp:positionH>
                  <wp:positionV relativeFrom="paragraph">
                    <wp:posOffset>42545</wp:posOffset>
                  </wp:positionV>
                  <wp:extent cx="1080135" cy="556260"/>
                  <wp:effectExtent l="0" t="0" r="5715" b="0"/>
                  <wp:wrapSquare wrapText="bothSides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S</w:t>
            </w:r>
            <w:r>
              <w:rPr>
                <w:vertAlign w:val="subscript"/>
              </w:rPr>
              <w:t>1</w:t>
            </w:r>
            <w:r>
              <w:t xml:space="preserve"> </w:t>
            </w:r>
            <w:r>
              <w:sym w:font="Wingdings" w:char="F0E0"/>
            </w:r>
            <w:r>
              <w:t xml:space="preserve"> S</w:t>
            </w:r>
          </w:p>
          <w:p w14:paraId="52E9B047" w14:textId="77777777" w:rsidR="00EE0C21" w:rsidRPr="00747ABB" w:rsidRDefault="00886FE2" w:rsidP="00557F64">
            <w:r w:rsidRPr="00886FE2">
              <w:rPr>
                <w:position w:val="-22"/>
              </w:rPr>
              <w:object w:dxaOrig="999" w:dyaOrig="580" w14:anchorId="68B1897B">
                <v:shape id="_x0000_i1027" type="#_x0000_t75" style="width:50.25pt;height:29.25pt" o:ole="">
                  <v:imagedata r:id="rId16" o:title=""/>
                </v:shape>
                <o:OLEObject Type="Embed" ProgID="Equation.DSMT4" ShapeID="_x0000_i1027" DrawAspect="Content" ObjectID="_1705770315" r:id="rId17"/>
              </w:object>
            </w:r>
          </w:p>
        </w:tc>
        <w:tc>
          <w:tcPr>
            <w:tcW w:w="4605" w:type="dxa"/>
          </w:tcPr>
          <w:p w14:paraId="6A1C7B91" w14:textId="77777777" w:rsidR="00EE0C21" w:rsidRDefault="00EE0C21" w:rsidP="00557F64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DF42845" wp14:editId="1AB9D12F">
                  <wp:simplePos x="0" y="0"/>
                  <wp:positionH relativeFrom="column">
                    <wp:posOffset>2277110</wp:posOffset>
                  </wp:positionH>
                  <wp:positionV relativeFrom="paragraph">
                    <wp:posOffset>17145</wp:posOffset>
                  </wp:positionV>
                  <wp:extent cx="571500" cy="895350"/>
                  <wp:effectExtent l="0" t="0" r="0" b="0"/>
                  <wp:wrapSquare wrapText="bothSides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S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r>
              <w:sym w:font="Wingdings" w:char="F0E0"/>
            </w:r>
            <w:r>
              <w:t xml:space="preserve"> S</w:t>
            </w:r>
          </w:p>
          <w:p w14:paraId="61BD5978" w14:textId="77777777" w:rsidR="00EE0C21" w:rsidRPr="00747ABB" w:rsidRDefault="00886FE2" w:rsidP="00557F64">
            <w:r w:rsidRPr="00886FE2">
              <w:rPr>
                <w:position w:val="-28"/>
              </w:rPr>
              <w:object w:dxaOrig="1340" w:dyaOrig="639" w14:anchorId="659AC420">
                <v:shape id="_x0000_i1028" type="#_x0000_t75" style="width:66.75pt;height:32.25pt" o:ole="">
                  <v:imagedata r:id="rId19" o:title=""/>
                </v:shape>
                <o:OLEObject Type="Embed" ProgID="Equation.DSMT4" ShapeID="_x0000_i1028" DrawAspect="Content" ObjectID="_1705770316" r:id="rId20"/>
              </w:object>
            </w:r>
          </w:p>
        </w:tc>
      </w:tr>
      <w:tr w:rsidR="00EE0C21" w14:paraId="3A9908A8" w14:textId="77777777" w:rsidTr="00557F64">
        <w:tc>
          <w:tcPr>
            <w:tcW w:w="4605" w:type="dxa"/>
          </w:tcPr>
          <w:p w14:paraId="785A357A" w14:textId="77777777" w:rsidR="00EE0C21" w:rsidRDefault="00145213" w:rsidP="00557F64">
            <w:pPr>
              <w:rPr>
                <w:noProof/>
              </w:rPr>
            </w:pPr>
            <w:r w:rsidRPr="00145213">
              <w:rPr>
                <w:noProof/>
                <w:position w:val="-112"/>
              </w:rPr>
              <w:object w:dxaOrig="1480" w:dyaOrig="2060" w14:anchorId="7D62E779">
                <v:shape id="_x0000_i1029" type="#_x0000_t75" style="width:74.25pt;height:102.75pt" o:ole="">
                  <v:imagedata r:id="rId21" o:title=""/>
                </v:shape>
                <o:OLEObject Type="Embed" ProgID="Equation.DSMT4" ShapeID="_x0000_i1029" DrawAspect="Content" ObjectID="_1705770317" r:id="rId22"/>
              </w:object>
            </w:r>
          </w:p>
        </w:tc>
        <w:tc>
          <w:tcPr>
            <w:tcW w:w="4605" w:type="dxa"/>
          </w:tcPr>
          <w:p w14:paraId="37C27897" w14:textId="77777777" w:rsidR="00EE0C21" w:rsidRDefault="00145213" w:rsidP="00557F64">
            <w:pPr>
              <w:rPr>
                <w:noProof/>
              </w:rPr>
            </w:pPr>
            <w:r w:rsidRPr="00767045">
              <w:rPr>
                <w:position w:val="-124"/>
              </w:rPr>
              <w:object w:dxaOrig="2180" w:dyaOrig="2240" w14:anchorId="565703B8">
                <v:shape id="_x0000_i1030" type="#_x0000_t75" style="width:108.75pt;height:111.75pt" o:ole="">
                  <v:imagedata r:id="rId23" o:title=""/>
                </v:shape>
                <o:OLEObject Type="Embed" ProgID="Equation.DSMT4" ShapeID="_x0000_i1030" DrawAspect="Content" ObjectID="_1705770318" r:id="rId24"/>
              </w:object>
            </w:r>
          </w:p>
        </w:tc>
      </w:tr>
    </w:tbl>
    <w:p w14:paraId="1BEDD9AB" w14:textId="77777777" w:rsidR="00EE0C21" w:rsidRDefault="00EE0C21" w:rsidP="00EE0C21"/>
    <w:p w14:paraId="0EC43749" w14:textId="77777777" w:rsidR="00EE0C21" w:rsidRDefault="00EE0C21" w:rsidP="005D3FD8">
      <w:pPr>
        <w:jc w:val="both"/>
      </w:pPr>
      <w:r>
        <w:t>Das Interferenzmuster ergibt sich aus der Laufzeitdifferenz. Bei Drehung der Anordnung um 90° müsste es zu einer Verschiebung der Interferenzstreifen kommen.</w:t>
      </w:r>
    </w:p>
    <w:p w14:paraId="1889ADE9" w14:textId="77777777" w:rsidR="00EE0C21" w:rsidRDefault="00EE0C21" w:rsidP="005D3FD8">
      <w:pPr>
        <w:jc w:val="both"/>
      </w:pPr>
    </w:p>
    <w:p w14:paraId="74E17492" w14:textId="77777777" w:rsidR="00EE0C21" w:rsidRDefault="00EE0C21" w:rsidP="005D3FD8">
      <w:pPr>
        <w:jc w:val="both"/>
      </w:pPr>
      <w:r>
        <w:t>Es trat jedoch bei keinem der Versuche eine Verschiebung der Interferenzstreifen auf. Ein Einfluss eines Äthers auf die Lichtgeschwindigkeit wurde nicht gefunden.</w:t>
      </w:r>
    </w:p>
    <w:p w14:paraId="0841F656" w14:textId="77777777" w:rsidR="00EE0C21" w:rsidRDefault="00EE0C21" w:rsidP="00EE0C21"/>
    <w:p w14:paraId="2755BAD2" w14:textId="06A188E0" w:rsidR="00145213" w:rsidRDefault="00145213" w:rsidP="00145213">
      <w:pPr>
        <w:pStyle w:val="Merksatz"/>
      </w:pPr>
      <w:r>
        <w:sym w:font="Marlett" w:char="F034"/>
      </w:r>
      <w:r>
        <w:t>Es gibt keine Bewegung der Erde relativ zum Äther.</w:t>
      </w:r>
    </w:p>
    <w:p w14:paraId="1EECD48C" w14:textId="77777777" w:rsidR="00145213" w:rsidRDefault="00145213" w:rsidP="005D3FD8">
      <w:pPr>
        <w:pStyle w:val="Merksatz"/>
      </w:pPr>
    </w:p>
    <w:p w14:paraId="7EA2B28E" w14:textId="77777777" w:rsidR="005D3FD8" w:rsidRDefault="005D3FD8" w:rsidP="005D3FD8">
      <w:pPr>
        <w:pStyle w:val="Merksatz"/>
      </w:pPr>
      <w:r>
        <w:sym w:font="Marlett" w:char="F034"/>
      </w:r>
      <w:r>
        <w:t>In unterschiedlich bewegten Systemen wird stets der gleiche Wert der Lichtgeschwindigkeit gemessen. Es gibt keinen bevorzugten absoluten Raum.</w:t>
      </w:r>
    </w:p>
    <w:p w14:paraId="42A8FE87" w14:textId="7E0CB996" w:rsidR="005D3FD8" w:rsidRDefault="005D3FD8" w:rsidP="005D3FD8"/>
    <w:sectPr w:rsidR="005D3FD8" w:rsidSect="00E23816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D9441" w14:textId="77777777" w:rsidR="001B088A" w:rsidRDefault="001B088A" w:rsidP="001032C6">
      <w:r>
        <w:separator/>
      </w:r>
    </w:p>
  </w:endnote>
  <w:endnote w:type="continuationSeparator" w:id="0">
    <w:p w14:paraId="57B41D65" w14:textId="77777777" w:rsidR="001B088A" w:rsidRDefault="001B088A" w:rsidP="0010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A81AE" w14:textId="77777777" w:rsidR="001B088A" w:rsidRDefault="001B088A" w:rsidP="001032C6">
      <w:r>
        <w:separator/>
      </w:r>
    </w:p>
  </w:footnote>
  <w:footnote w:type="continuationSeparator" w:id="0">
    <w:p w14:paraId="13D93D37" w14:textId="77777777" w:rsidR="001B088A" w:rsidRDefault="001B088A" w:rsidP="00103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A3C20"/>
    <w:multiLevelType w:val="hybridMultilevel"/>
    <w:tmpl w:val="F2368FC8"/>
    <w:lvl w:ilvl="0" w:tplc="BF665F7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327C06A6"/>
    <w:multiLevelType w:val="hybridMultilevel"/>
    <w:tmpl w:val="C6A438C8"/>
    <w:lvl w:ilvl="0" w:tplc="CDAE3CB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7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8" w15:restartNumberingAfterBreak="0">
    <w:nsid w:val="4CD01EF7"/>
    <w:multiLevelType w:val="hybridMultilevel"/>
    <w:tmpl w:val="67522E18"/>
    <w:lvl w:ilvl="0" w:tplc="BF665F7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8F453E"/>
    <w:multiLevelType w:val="hybridMultilevel"/>
    <w:tmpl w:val="B590E89C"/>
    <w:lvl w:ilvl="0" w:tplc="38A45C5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65C9F18" w:tentative="1">
      <w:start w:val="1"/>
      <w:numFmt w:val="lowerLetter"/>
      <w:lvlText w:val="%2."/>
      <w:lvlJc w:val="left"/>
      <w:pPr>
        <w:ind w:left="1080" w:hanging="360"/>
      </w:pPr>
    </w:lvl>
    <w:lvl w:ilvl="2" w:tplc="E2A8C712" w:tentative="1">
      <w:start w:val="1"/>
      <w:numFmt w:val="lowerRoman"/>
      <w:lvlText w:val="%3."/>
      <w:lvlJc w:val="right"/>
      <w:pPr>
        <w:ind w:left="1800" w:hanging="180"/>
      </w:pPr>
    </w:lvl>
    <w:lvl w:ilvl="3" w:tplc="995CFE60" w:tentative="1">
      <w:start w:val="1"/>
      <w:numFmt w:val="decimal"/>
      <w:lvlText w:val="%4."/>
      <w:lvlJc w:val="left"/>
      <w:pPr>
        <w:ind w:left="2520" w:hanging="360"/>
      </w:pPr>
    </w:lvl>
    <w:lvl w:ilvl="4" w:tplc="66F654BC" w:tentative="1">
      <w:start w:val="1"/>
      <w:numFmt w:val="lowerLetter"/>
      <w:lvlText w:val="%5."/>
      <w:lvlJc w:val="left"/>
      <w:pPr>
        <w:ind w:left="3240" w:hanging="360"/>
      </w:pPr>
    </w:lvl>
    <w:lvl w:ilvl="5" w:tplc="0F78EE28" w:tentative="1">
      <w:start w:val="1"/>
      <w:numFmt w:val="lowerRoman"/>
      <w:lvlText w:val="%6."/>
      <w:lvlJc w:val="right"/>
      <w:pPr>
        <w:ind w:left="3960" w:hanging="180"/>
      </w:pPr>
    </w:lvl>
    <w:lvl w:ilvl="6" w:tplc="0CAA4EE0" w:tentative="1">
      <w:start w:val="1"/>
      <w:numFmt w:val="decimal"/>
      <w:lvlText w:val="%7."/>
      <w:lvlJc w:val="left"/>
      <w:pPr>
        <w:ind w:left="4680" w:hanging="360"/>
      </w:pPr>
    </w:lvl>
    <w:lvl w:ilvl="7" w:tplc="65B67244" w:tentative="1">
      <w:start w:val="1"/>
      <w:numFmt w:val="lowerLetter"/>
      <w:lvlText w:val="%8."/>
      <w:lvlJc w:val="left"/>
      <w:pPr>
        <w:ind w:left="5400" w:hanging="360"/>
      </w:pPr>
    </w:lvl>
    <w:lvl w:ilvl="8" w:tplc="01487D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2" w15:restartNumberingAfterBreak="0">
    <w:nsid w:val="5D250C4A"/>
    <w:multiLevelType w:val="hybridMultilevel"/>
    <w:tmpl w:val="74324000"/>
    <w:lvl w:ilvl="0" w:tplc="A6545A18">
      <w:start w:val="1"/>
      <w:numFmt w:val="decimal"/>
      <w:lvlText w:val="%1."/>
      <w:lvlJc w:val="left"/>
      <w:pPr>
        <w:ind w:left="720" w:hanging="360"/>
      </w:pPr>
    </w:lvl>
    <w:lvl w:ilvl="1" w:tplc="B898107C" w:tentative="1">
      <w:start w:val="1"/>
      <w:numFmt w:val="lowerLetter"/>
      <w:lvlText w:val="%2."/>
      <w:lvlJc w:val="left"/>
      <w:pPr>
        <w:ind w:left="1440" w:hanging="360"/>
      </w:pPr>
    </w:lvl>
    <w:lvl w:ilvl="2" w:tplc="CD1C4CC8" w:tentative="1">
      <w:start w:val="1"/>
      <w:numFmt w:val="lowerRoman"/>
      <w:lvlText w:val="%3."/>
      <w:lvlJc w:val="right"/>
      <w:pPr>
        <w:ind w:left="2160" w:hanging="180"/>
      </w:pPr>
    </w:lvl>
    <w:lvl w:ilvl="3" w:tplc="ED9CFEF4" w:tentative="1">
      <w:start w:val="1"/>
      <w:numFmt w:val="decimal"/>
      <w:lvlText w:val="%4."/>
      <w:lvlJc w:val="left"/>
      <w:pPr>
        <w:ind w:left="2880" w:hanging="360"/>
      </w:pPr>
    </w:lvl>
    <w:lvl w:ilvl="4" w:tplc="9FC48F60" w:tentative="1">
      <w:start w:val="1"/>
      <w:numFmt w:val="lowerLetter"/>
      <w:lvlText w:val="%5."/>
      <w:lvlJc w:val="left"/>
      <w:pPr>
        <w:ind w:left="3600" w:hanging="360"/>
      </w:pPr>
    </w:lvl>
    <w:lvl w:ilvl="5" w:tplc="F4F2A13C" w:tentative="1">
      <w:start w:val="1"/>
      <w:numFmt w:val="lowerRoman"/>
      <w:lvlText w:val="%6."/>
      <w:lvlJc w:val="right"/>
      <w:pPr>
        <w:ind w:left="4320" w:hanging="180"/>
      </w:pPr>
    </w:lvl>
    <w:lvl w:ilvl="6" w:tplc="EF4244C2" w:tentative="1">
      <w:start w:val="1"/>
      <w:numFmt w:val="decimal"/>
      <w:lvlText w:val="%7."/>
      <w:lvlJc w:val="left"/>
      <w:pPr>
        <w:ind w:left="5040" w:hanging="360"/>
      </w:pPr>
    </w:lvl>
    <w:lvl w:ilvl="7" w:tplc="48F8CF12" w:tentative="1">
      <w:start w:val="1"/>
      <w:numFmt w:val="lowerLetter"/>
      <w:lvlText w:val="%8."/>
      <w:lvlJc w:val="left"/>
      <w:pPr>
        <w:ind w:left="5760" w:hanging="360"/>
      </w:pPr>
    </w:lvl>
    <w:lvl w:ilvl="8" w:tplc="7A7A1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701A6"/>
    <w:multiLevelType w:val="hybridMultilevel"/>
    <w:tmpl w:val="B888ABAE"/>
    <w:lvl w:ilvl="0" w:tplc="7A9C3392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F46EC88E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9C22330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6BAE8C8A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B0EFA8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662DC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C5FCCEF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AFA36BE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A5B6D75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E2313E7"/>
    <w:multiLevelType w:val="hybridMultilevel"/>
    <w:tmpl w:val="823EF22C"/>
    <w:lvl w:ilvl="0" w:tplc="CDAE3CB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14362E"/>
    <w:multiLevelType w:val="hybridMultilevel"/>
    <w:tmpl w:val="839220F6"/>
    <w:lvl w:ilvl="0" w:tplc="21EA92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E5DEB"/>
    <w:multiLevelType w:val="hybridMultilevel"/>
    <w:tmpl w:val="433CBA60"/>
    <w:lvl w:ilvl="0" w:tplc="186066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9"/>
  </w:num>
  <w:num w:numId="16">
    <w:abstractNumId w:val="14"/>
  </w:num>
  <w:num w:numId="17">
    <w:abstractNumId w:val="25"/>
  </w:num>
  <w:num w:numId="18">
    <w:abstractNumId w:val="12"/>
  </w:num>
  <w:num w:numId="19">
    <w:abstractNumId w:val="23"/>
  </w:num>
  <w:num w:numId="20">
    <w:abstractNumId w:val="20"/>
  </w:num>
  <w:num w:numId="21">
    <w:abstractNumId w:val="1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7"/>
  </w:num>
  <w:num w:numId="25">
    <w:abstractNumId w:val="26"/>
  </w:num>
  <w:num w:numId="26">
    <w:abstractNumId w:val="10"/>
  </w:num>
  <w:num w:numId="27">
    <w:abstractNumId w:val="18"/>
  </w:num>
  <w:num w:numId="28">
    <w:abstractNumId w:val="2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2C6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213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2B5D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088A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3B4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5761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3CE1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0E6C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18ED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6D58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4DB0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53A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3FD8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8E6"/>
    <w:rsid w:val="00640BF2"/>
    <w:rsid w:val="00642595"/>
    <w:rsid w:val="00644F4D"/>
    <w:rsid w:val="00645961"/>
    <w:rsid w:val="00650D66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09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4C8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558C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045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208"/>
    <w:rsid w:val="007F3F91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4BBD"/>
    <w:rsid w:val="00875520"/>
    <w:rsid w:val="008767EA"/>
    <w:rsid w:val="00876C47"/>
    <w:rsid w:val="00877E3F"/>
    <w:rsid w:val="008804E7"/>
    <w:rsid w:val="008836BD"/>
    <w:rsid w:val="00884D96"/>
    <w:rsid w:val="00885C5E"/>
    <w:rsid w:val="00886FE2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16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4CA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1B24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8C0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26A5"/>
    <w:rsid w:val="00BD359F"/>
    <w:rsid w:val="00BD3922"/>
    <w:rsid w:val="00BD4000"/>
    <w:rsid w:val="00BD4CCD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40FB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38C6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77EC8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24B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3816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21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109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65070"/>
    <w:rsid w:val="00F70559"/>
    <w:rsid w:val="00F7110B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1400"/>
    <w:rsid w:val="00FA0117"/>
    <w:rsid w:val="00FA1BC0"/>
    <w:rsid w:val="00FA1D8B"/>
    <w:rsid w:val="00FA213F"/>
    <w:rsid w:val="00FA2562"/>
    <w:rsid w:val="00FA32EE"/>
    <w:rsid w:val="00FA360F"/>
    <w:rsid w:val="00FA4163"/>
    <w:rsid w:val="00FA46DD"/>
    <w:rsid w:val="00FA4E45"/>
    <w:rsid w:val="00FA4F79"/>
    <w:rsid w:val="00FA53D9"/>
    <w:rsid w:val="00FA7B01"/>
    <w:rsid w:val="00FB1E8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D39A"/>
  <w15:docId w15:val="{ECB7D524-C499-4123-8844-485F45E1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BD26A5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BD26A5"/>
    <w:rPr>
      <w:rFonts w:eastAsia="Times New Roman" w:cs="Arial"/>
      <w:b/>
      <w:bCs/>
      <w:color w:val="0070C0"/>
      <w:lang w:eastAsia="de-DE"/>
    </w:rPr>
  </w:style>
  <w:style w:type="character" w:customStyle="1" w:styleId="apple-converted-space">
    <w:name w:val="apple-converted-space"/>
    <w:basedOn w:val="Absatz-Standardschriftart"/>
    <w:rsid w:val="0087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wmf"/><Relationship Id="rId18" Type="http://schemas.openxmlformats.org/officeDocument/2006/relationships/image" Target="media/image8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oleObject" Target="embeddings/oleObject3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6.bin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1.wmf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B0F4D-38BC-4CE8-8D1C-A2B8D0F2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1624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2022-02-02T16:39:00Z</cp:lastPrinted>
  <dcterms:created xsi:type="dcterms:W3CDTF">2022-02-07T19:18:00Z</dcterms:created>
  <dcterms:modified xsi:type="dcterms:W3CDTF">2022-02-07T19:19:00Z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