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CA68" w14:textId="745F8D19" w:rsidR="006C2AC8" w:rsidRDefault="00D71477" w:rsidP="006C2AC8">
      <w:pPr>
        <w:pStyle w:val="berschrift3"/>
        <w:numPr>
          <w:ilvl w:val="0"/>
          <w:numId w:val="0"/>
        </w:numPr>
      </w:pPr>
      <w:r>
        <w:t>1.4.5. Lumineszenz</w:t>
      </w:r>
    </w:p>
    <w:p w14:paraId="45CA9FA5" w14:textId="4E8497FA" w:rsidR="006C2AC8" w:rsidRPr="00056ECF" w:rsidRDefault="006C2AC8" w:rsidP="00056ECF">
      <w:pPr>
        <w:jc w:val="both"/>
        <w:rPr>
          <w:rFonts w:cstheme="minorHAnsi"/>
          <w:szCs w:val="22"/>
        </w:rPr>
      </w:pPr>
    </w:p>
    <w:p w14:paraId="4FC73A0C" w14:textId="05518568" w:rsidR="00056ECF" w:rsidRDefault="00056ECF" w:rsidP="00056ECF">
      <w:pPr>
        <w:jc w:val="both"/>
        <w:rPr>
          <w:rFonts w:cstheme="minorHAnsi"/>
          <w:color w:val="333333"/>
          <w:szCs w:val="22"/>
          <w:shd w:val="clear" w:color="auto" w:fill="FFFFFF"/>
        </w:rPr>
      </w:pPr>
      <w:r w:rsidRPr="00056ECF">
        <w:rPr>
          <w:rStyle w:val="Fett"/>
          <w:rFonts w:cstheme="minorHAnsi"/>
          <w:b w:val="0"/>
          <w:bCs w:val="0"/>
          <w:color w:val="333333"/>
          <w:szCs w:val="22"/>
          <w:shd w:val="clear" w:color="auto" w:fill="FFFFFF"/>
        </w:rPr>
        <w:t>Lumineszenz</w:t>
      </w:r>
      <w:r w:rsidRPr="00056ECF">
        <w:rPr>
          <w:rFonts w:cstheme="minorHAnsi"/>
          <w:color w:val="333333"/>
          <w:szCs w:val="22"/>
          <w:shd w:val="clear" w:color="auto" w:fill="FFFFFF"/>
        </w:rPr>
        <w:t> bezeichnet das Aufleuchten einer Substanz unter Energieeinwirkung. Diese regt einzelne Elektronen an. Beim Rückfall der Elektronen von energetisch höheren Zuständen auf niedrigere Energieniveaus wird die überschüssige Energie als Strahlung emittiert. Je nachdem, ob das Aufleuchten mit Beendigung der Energieeinwirkung erlischt oder weiterhin anhält, unterscheidet man zwischen Fluoreszenz und Phosphoreszenz.</w:t>
      </w:r>
    </w:p>
    <w:p w14:paraId="23778F3F" w14:textId="31AE1C2D" w:rsidR="00056ECF" w:rsidRDefault="00056ECF" w:rsidP="00056ECF">
      <w:pPr>
        <w:jc w:val="both"/>
        <w:rPr>
          <w:rFonts w:cstheme="minorHAnsi"/>
          <w:color w:val="333333"/>
          <w:szCs w:val="22"/>
          <w:shd w:val="clear" w:color="auto" w:fill="FFFFFF"/>
        </w:rPr>
      </w:pPr>
      <w:r>
        <w:rPr>
          <w:noProof/>
        </w:rPr>
        <w:drawing>
          <wp:anchor distT="0" distB="0" distL="114300" distR="114300" simplePos="0" relativeHeight="251676672" behindDoc="0" locked="0" layoutInCell="1" allowOverlap="1" wp14:anchorId="774CADBE" wp14:editId="087BE20D">
            <wp:simplePos x="0" y="0"/>
            <wp:positionH relativeFrom="margin">
              <wp:posOffset>0</wp:posOffset>
            </wp:positionH>
            <wp:positionV relativeFrom="paragraph">
              <wp:posOffset>129701</wp:posOffset>
            </wp:positionV>
            <wp:extent cx="2160000" cy="108889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0000" cy="1088894"/>
                    </a:xfrm>
                    <a:prstGeom prst="rect">
                      <a:avLst/>
                    </a:prstGeom>
                  </pic:spPr>
                </pic:pic>
              </a:graphicData>
            </a:graphic>
            <wp14:sizeRelH relativeFrom="page">
              <wp14:pctWidth>0</wp14:pctWidth>
            </wp14:sizeRelH>
            <wp14:sizeRelV relativeFrom="page">
              <wp14:pctHeight>0</wp14:pctHeight>
            </wp14:sizeRelV>
          </wp:anchor>
        </w:drawing>
      </w:r>
    </w:p>
    <w:p w14:paraId="0A6E96C5" w14:textId="7CBCDDFD" w:rsidR="00056ECF" w:rsidRPr="00056ECF" w:rsidRDefault="00056ECF" w:rsidP="00056ECF">
      <w:pPr>
        <w:jc w:val="both"/>
        <w:rPr>
          <w:rFonts w:cstheme="minorHAnsi"/>
          <w:szCs w:val="22"/>
        </w:rPr>
      </w:pPr>
      <w:r>
        <w:rPr>
          <w:rFonts w:cstheme="minorHAnsi"/>
          <w:szCs w:val="22"/>
        </w:rPr>
        <w:t>Bei der Resonanzfluoreszenz hat das emittierte Licht dieselbe Frequenz wie das absorbierte Licht.</w:t>
      </w:r>
    </w:p>
    <w:p w14:paraId="19580493" w14:textId="5CFBF2A5" w:rsidR="00056ECF" w:rsidRPr="00056ECF" w:rsidRDefault="00056ECF" w:rsidP="00056ECF">
      <w:pPr>
        <w:jc w:val="both"/>
        <w:rPr>
          <w:rFonts w:cstheme="minorHAnsi"/>
          <w:szCs w:val="22"/>
        </w:rPr>
      </w:pPr>
    </w:p>
    <w:p w14:paraId="05B7C789" w14:textId="5EDD1167" w:rsidR="00D71477" w:rsidRDefault="00D71477" w:rsidP="00451241">
      <w:pPr>
        <w:rPr>
          <w:rFonts w:cstheme="minorHAnsi"/>
          <w:szCs w:val="22"/>
        </w:rPr>
      </w:pPr>
    </w:p>
    <w:p w14:paraId="61F1962D" w14:textId="0C1B1C8F" w:rsidR="00056ECF" w:rsidRDefault="00056ECF" w:rsidP="00451241">
      <w:pPr>
        <w:rPr>
          <w:rFonts w:cstheme="minorHAnsi"/>
          <w:szCs w:val="22"/>
        </w:rPr>
      </w:pPr>
    </w:p>
    <w:p w14:paraId="0723561F" w14:textId="58DCABB5" w:rsidR="00056ECF" w:rsidRDefault="00056ECF" w:rsidP="00451241">
      <w:pPr>
        <w:rPr>
          <w:rFonts w:cstheme="minorHAnsi"/>
          <w:szCs w:val="22"/>
        </w:rPr>
      </w:pPr>
      <w:r>
        <w:rPr>
          <w:noProof/>
        </w:rPr>
        <w:drawing>
          <wp:anchor distT="0" distB="0" distL="114300" distR="114300" simplePos="0" relativeHeight="251677696" behindDoc="0" locked="0" layoutInCell="1" allowOverlap="1" wp14:anchorId="1EA048F5" wp14:editId="24B433F2">
            <wp:simplePos x="0" y="0"/>
            <wp:positionH relativeFrom="column">
              <wp:align>right</wp:align>
            </wp:positionH>
            <wp:positionV relativeFrom="paragraph">
              <wp:posOffset>165062</wp:posOffset>
            </wp:positionV>
            <wp:extent cx="2160000" cy="984706"/>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0000" cy="984706"/>
                    </a:xfrm>
                    <a:prstGeom prst="rect">
                      <a:avLst/>
                    </a:prstGeom>
                  </pic:spPr>
                </pic:pic>
              </a:graphicData>
            </a:graphic>
            <wp14:sizeRelH relativeFrom="page">
              <wp14:pctWidth>0</wp14:pctWidth>
            </wp14:sizeRelH>
            <wp14:sizeRelV relativeFrom="page">
              <wp14:pctHeight>0</wp14:pctHeight>
            </wp14:sizeRelV>
          </wp:anchor>
        </w:drawing>
      </w:r>
    </w:p>
    <w:p w14:paraId="5DF0CBC5" w14:textId="652F6369" w:rsidR="00056ECF" w:rsidRPr="00527B6C" w:rsidRDefault="00056ECF" w:rsidP="00056ECF">
      <w:pPr>
        <w:jc w:val="both"/>
        <w:rPr>
          <w:rFonts w:cstheme="minorHAnsi"/>
          <w:szCs w:val="22"/>
        </w:rPr>
      </w:pPr>
      <w:r>
        <w:rPr>
          <w:rFonts w:cstheme="minorHAnsi"/>
          <w:szCs w:val="22"/>
        </w:rPr>
        <w:t>Es kann bei der Fluoreszenz aber auch zu einer Verschiebung der Frequenz kommen. Durch Anregung gelangt das Photon vom Grundzustand E</w:t>
      </w:r>
      <w:r>
        <w:rPr>
          <w:rFonts w:cstheme="minorHAnsi"/>
          <w:szCs w:val="22"/>
          <w:vertAlign w:val="subscript"/>
        </w:rPr>
        <w:t>0</w:t>
      </w:r>
      <w:r>
        <w:rPr>
          <w:rFonts w:cstheme="minorHAnsi"/>
          <w:szCs w:val="22"/>
        </w:rPr>
        <w:t xml:space="preserve"> in den kurzlebigen</w:t>
      </w:r>
      <w:r w:rsidR="00527B6C">
        <w:rPr>
          <w:rFonts w:cstheme="minorHAnsi"/>
          <w:szCs w:val="22"/>
        </w:rPr>
        <w:t xml:space="preserve"> Anregungszustand E</w:t>
      </w:r>
      <w:r w:rsidR="00D82CEA">
        <w:rPr>
          <w:rFonts w:cstheme="minorHAnsi"/>
          <w:szCs w:val="22"/>
          <w:vertAlign w:val="subscript"/>
        </w:rPr>
        <w:t>2</w:t>
      </w:r>
      <w:r w:rsidR="00527B6C">
        <w:rPr>
          <w:rFonts w:cstheme="minorHAnsi"/>
          <w:szCs w:val="22"/>
        </w:rPr>
        <w:t>. Es erfolgt ein strahlungsloser Übergang in E</w:t>
      </w:r>
      <w:r w:rsidR="00D82CEA">
        <w:rPr>
          <w:rFonts w:cstheme="minorHAnsi"/>
          <w:szCs w:val="22"/>
          <w:vertAlign w:val="subscript"/>
        </w:rPr>
        <w:t>1</w:t>
      </w:r>
      <w:r w:rsidR="00527B6C">
        <w:rPr>
          <w:rFonts w:cstheme="minorHAnsi"/>
          <w:szCs w:val="22"/>
        </w:rPr>
        <w:t xml:space="preserve"> und eine Emission eines sichtbaren Photons innerhalb von 10</w:t>
      </w:r>
      <w:r w:rsidR="00527B6C">
        <w:rPr>
          <w:rFonts w:cstheme="minorHAnsi"/>
          <w:szCs w:val="22"/>
          <w:vertAlign w:val="superscript"/>
        </w:rPr>
        <w:t>–8</w:t>
      </w:r>
      <w:r w:rsidR="00527B6C">
        <w:rPr>
          <w:rFonts w:cstheme="minorHAnsi"/>
          <w:szCs w:val="22"/>
        </w:rPr>
        <w:t xml:space="preserve"> s beim Übergang in E</w:t>
      </w:r>
      <w:r w:rsidR="00527B6C">
        <w:rPr>
          <w:rFonts w:cstheme="minorHAnsi"/>
          <w:szCs w:val="22"/>
          <w:vertAlign w:val="subscript"/>
        </w:rPr>
        <w:t>0</w:t>
      </w:r>
      <w:r w:rsidR="00527B6C">
        <w:rPr>
          <w:rFonts w:cstheme="minorHAnsi"/>
          <w:szCs w:val="22"/>
        </w:rPr>
        <w:t>.</w:t>
      </w:r>
      <w:r w:rsidR="005862D1">
        <w:rPr>
          <w:rFonts w:cstheme="minorHAnsi"/>
          <w:szCs w:val="22"/>
        </w:rPr>
        <w:t xml:space="preserve"> Es erfolgt kein Nachleuchten. </w:t>
      </w:r>
    </w:p>
    <w:p w14:paraId="6CE2CE33" w14:textId="77777777" w:rsidR="00DE5257" w:rsidRDefault="00DE5257" w:rsidP="00451241">
      <w:pPr>
        <w:rPr>
          <w:rFonts w:cstheme="minorHAnsi"/>
          <w:szCs w:val="22"/>
        </w:rPr>
      </w:pPr>
    </w:p>
    <w:p w14:paraId="08FD9983" w14:textId="4F738959" w:rsidR="00D71477" w:rsidRDefault="005862D1" w:rsidP="005862D1">
      <w:pPr>
        <w:jc w:val="both"/>
        <w:rPr>
          <w:rFonts w:cstheme="minorHAnsi"/>
          <w:szCs w:val="22"/>
        </w:rPr>
      </w:pPr>
      <w:r>
        <w:rPr>
          <w:rFonts w:cstheme="minorHAnsi"/>
          <w:szCs w:val="22"/>
        </w:rPr>
        <w:t>Bei Phosphorverbindungen ist zu beobachten, dass diese über Minuten oder Stunden nachleuchten. Ursache ist, dass das Photon nach der Anregung in einen langlebigen (metastabilen) Zustand wechselt</w:t>
      </w:r>
      <w:r w:rsidR="00DE5257">
        <w:rPr>
          <w:rFonts w:cstheme="minorHAnsi"/>
          <w:szCs w:val="22"/>
        </w:rPr>
        <w:t xml:space="preserve"> und erst dann unter Aussendung eines Photons in den Grundzustand zurückkehrt</w:t>
      </w:r>
      <w:r>
        <w:rPr>
          <w:rFonts w:cstheme="minorHAnsi"/>
          <w:szCs w:val="22"/>
        </w:rPr>
        <w:t xml:space="preserve">. </w:t>
      </w:r>
    </w:p>
    <w:p w14:paraId="07CADFF4" w14:textId="77777777" w:rsidR="00D71477" w:rsidRPr="00451241" w:rsidRDefault="00D71477" w:rsidP="00451241">
      <w:pPr>
        <w:rPr>
          <w:rFonts w:cstheme="minorHAnsi"/>
          <w:szCs w:val="22"/>
        </w:rPr>
      </w:pPr>
    </w:p>
    <w:sectPr w:rsidR="00D71477" w:rsidRPr="00451241" w:rsidSect="001F0D23">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DA55" w14:textId="77777777" w:rsidR="0086666D" w:rsidRDefault="0086666D" w:rsidP="004B0A77">
      <w:r>
        <w:separator/>
      </w:r>
    </w:p>
  </w:endnote>
  <w:endnote w:type="continuationSeparator" w:id="0">
    <w:p w14:paraId="0A3D3C1C" w14:textId="77777777" w:rsidR="0086666D" w:rsidRDefault="0086666D" w:rsidP="004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4C7D" w14:textId="77777777" w:rsidR="0086666D" w:rsidRDefault="0086666D" w:rsidP="004B0A77">
      <w:r>
        <w:separator/>
      </w:r>
    </w:p>
  </w:footnote>
  <w:footnote w:type="continuationSeparator" w:id="0">
    <w:p w14:paraId="4F4FC4EC" w14:textId="77777777" w:rsidR="0086666D" w:rsidRDefault="0086666D" w:rsidP="004B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FA3C20"/>
    <w:multiLevelType w:val="hybridMultilevel"/>
    <w:tmpl w:val="F2368FC8"/>
    <w:lvl w:ilvl="0" w:tplc="BF665F72">
      <w:start w:val="1"/>
      <w:numFmt w:val="bullet"/>
      <w:lvlText w:val=""/>
      <w:lvlJc w:val="left"/>
      <w:pPr>
        <w:ind w:left="720" w:hanging="360"/>
      </w:pPr>
      <w:rPr>
        <w:rFonts w:ascii="Wingdings" w:eastAsia="Times New Roman" w:hAnsi="Wingdings" w:cstheme="minorHAnsi" w:hint="default"/>
        <w:color w:val="2525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301DE"/>
    <w:multiLevelType w:val="hybridMultilevel"/>
    <w:tmpl w:val="BDCA83F2"/>
    <w:lvl w:ilvl="0" w:tplc="3E5238DC">
      <w:start w:val="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8" w15:restartNumberingAfterBreak="0">
    <w:nsid w:val="4CD01EF7"/>
    <w:multiLevelType w:val="hybridMultilevel"/>
    <w:tmpl w:val="67522E18"/>
    <w:lvl w:ilvl="0" w:tplc="BF665F72">
      <w:start w:val="1"/>
      <w:numFmt w:val="bullet"/>
      <w:lvlText w:val=""/>
      <w:lvlJc w:val="left"/>
      <w:pPr>
        <w:ind w:left="1080" w:hanging="360"/>
      </w:pPr>
      <w:rPr>
        <w:rFonts w:ascii="Wingdings" w:eastAsia="Times New Roman" w:hAnsi="Wingdings" w:cstheme="minorHAnsi" w:hint="default"/>
        <w:color w:val="252525"/>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08F453E"/>
    <w:multiLevelType w:val="hybridMultilevel"/>
    <w:tmpl w:val="B590E89C"/>
    <w:lvl w:ilvl="0" w:tplc="38A45C54">
      <w:numFmt w:val="decimal"/>
      <w:lvlText w:val="%1."/>
      <w:lvlJc w:val="left"/>
      <w:pPr>
        <w:ind w:left="360" w:hanging="360"/>
      </w:pPr>
      <w:rPr>
        <w:rFonts w:hint="default"/>
      </w:rPr>
    </w:lvl>
    <w:lvl w:ilvl="1" w:tplc="565C9F18" w:tentative="1">
      <w:start w:val="1"/>
      <w:numFmt w:val="lowerLetter"/>
      <w:lvlText w:val="%2."/>
      <w:lvlJc w:val="left"/>
      <w:pPr>
        <w:ind w:left="1080" w:hanging="360"/>
      </w:pPr>
    </w:lvl>
    <w:lvl w:ilvl="2" w:tplc="E2A8C712" w:tentative="1">
      <w:start w:val="1"/>
      <w:numFmt w:val="lowerRoman"/>
      <w:lvlText w:val="%3."/>
      <w:lvlJc w:val="right"/>
      <w:pPr>
        <w:ind w:left="1800" w:hanging="180"/>
      </w:pPr>
    </w:lvl>
    <w:lvl w:ilvl="3" w:tplc="995CFE60" w:tentative="1">
      <w:start w:val="1"/>
      <w:numFmt w:val="decimal"/>
      <w:lvlText w:val="%4."/>
      <w:lvlJc w:val="left"/>
      <w:pPr>
        <w:ind w:left="2520" w:hanging="360"/>
      </w:pPr>
    </w:lvl>
    <w:lvl w:ilvl="4" w:tplc="66F654BC" w:tentative="1">
      <w:start w:val="1"/>
      <w:numFmt w:val="lowerLetter"/>
      <w:lvlText w:val="%5."/>
      <w:lvlJc w:val="left"/>
      <w:pPr>
        <w:ind w:left="3240" w:hanging="360"/>
      </w:pPr>
    </w:lvl>
    <w:lvl w:ilvl="5" w:tplc="0F78EE28" w:tentative="1">
      <w:start w:val="1"/>
      <w:numFmt w:val="lowerRoman"/>
      <w:lvlText w:val="%6."/>
      <w:lvlJc w:val="right"/>
      <w:pPr>
        <w:ind w:left="3960" w:hanging="180"/>
      </w:pPr>
    </w:lvl>
    <w:lvl w:ilvl="6" w:tplc="0CAA4EE0" w:tentative="1">
      <w:start w:val="1"/>
      <w:numFmt w:val="decimal"/>
      <w:lvlText w:val="%7."/>
      <w:lvlJc w:val="left"/>
      <w:pPr>
        <w:ind w:left="4680" w:hanging="360"/>
      </w:pPr>
    </w:lvl>
    <w:lvl w:ilvl="7" w:tplc="65B67244" w:tentative="1">
      <w:start w:val="1"/>
      <w:numFmt w:val="lowerLetter"/>
      <w:lvlText w:val="%8."/>
      <w:lvlJc w:val="left"/>
      <w:pPr>
        <w:ind w:left="5400" w:hanging="360"/>
      </w:pPr>
    </w:lvl>
    <w:lvl w:ilvl="8" w:tplc="01487DEA" w:tentative="1">
      <w:start w:val="1"/>
      <w:numFmt w:val="lowerRoman"/>
      <w:lvlText w:val="%9."/>
      <w:lvlJc w:val="right"/>
      <w:pPr>
        <w:ind w:left="6120" w:hanging="180"/>
      </w:pPr>
    </w:lvl>
  </w:abstractNum>
  <w:abstractNum w:abstractNumId="20"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1"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2" w15:restartNumberingAfterBreak="0">
    <w:nsid w:val="5D250C4A"/>
    <w:multiLevelType w:val="hybridMultilevel"/>
    <w:tmpl w:val="74324000"/>
    <w:lvl w:ilvl="0" w:tplc="A6545A18">
      <w:start w:val="1"/>
      <w:numFmt w:val="decimal"/>
      <w:lvlText w:val="%1."/>
      <w:lvlJc w:val="left"/>
      <w:pPr>
        <w:ind w:left="720" w:hanging="360"/>
      </w:pPr>
    </w:lvl>
    <w:lvl w:ilvl="1" w:tplc="B898107C" w:tentative="1">
      <w:start w:val="1"/>
      <w:numFmt w:val="lowerLetter"/>
      <w:lvlText w:val="%2."/>
      <w:lvlJc w:val="left"/>
      <w:pPr>
        <w:ind w:left="1440" w:hanging="360"/>
      </w:pPr>
    </w:lvl>
    <w:lvl w:ilvl="2" w:tplc="CD1C4CC8" w:tentative="1">
      <w:start w:val="1"/>
      <w:numFmt w:val="lowerRoman"/>
      <w:lvlText w:val="%3."/>
      <w:lvlJc w:val="right"/>
      <w:pPr>
        <w:ind w:left="2160" w:hanging="180"/>
      </w:pPr>
    </w:lvl>
    <w:lvl w:ilvl="3" w:tplc="ED9CFEF4" w:tentative="1">
      <w:start w:val="1"/>
      <w:numFmt w:val="decimal"/>
      <w:lvlText w:val="%4."/>
      <w:lvlJc w:val="left"/>
      <w:pPr>
        <w:ind w:left="2880" w:hanging="360"/>
      </w:pPr>
    </w:lvl>
    <w:lvl w:ilvl="4" w:tplc="9FC48F60" w:tentative="1">
      <w:start w:val="1"/>
      <w:numFmt w:val="lowerLetter"/>
      <w:lvlText w:val="%5."/>
      <w:lvlJc w:val="left"/>
      <w:pPr>
        <w:ind w:left="3600" w:hanging="360"/>
      </w:pPr>
    </w:lvl>
    <w:lvl w:ilvl="5" w:tplc="F4F2A13C" w:tentative="1">
      <w:start w:val="1"/>
      <w:numFmt w:val="lowerRoman"/>
      <w:lvlText w:val="%6."/>
      <w:lvlJc w:val="right"/>
      <w:pPr>
        <w:ind w:left="4320" w:hanging="180"/>
      </w:pPr>
    </w:lvl>
    <w:lvl w:ilvl="6" w:tplc="EF4244C2" w:tentative="1">
      <w:start w:val="1"/>
      <w:numFmt w:val="decimal"/>
      <w:lvlText w:val="%7."/>
      <w:lvlJc w:val="left"/>
      <w:pPr>
        <w:ind w:left="5040" w:hanging="360"/>
      </w:pPr>
    </w:lvl>
    <w:lvl w:ilvl="7" w:tplc="48F8CF12" w:tentative="1">
      <w:start w:val="1"/>
      <w:numFmt w:val="lowerLetter"/>
      <w:lvlText w:val="%8."/>
      <w:lvlJc w:val="left"/>
      <w:pPr>
        <w:ind w:left="5760" w:hanging="360"/>
      </w:pPr>
    </w:lvl>
    <w:lvl w:ilvl="8" w:tplc="7A7A138A" w:tentative="1">
      <w:start w:val="1"/>
      <w:numFmt w:val="lowerRoman"/>
      <w:lvlText w:val="%9."/>
      <w:lvlJc w:val="right"/>
      <w:pPr>
        <w:ind w:left="6480" w:hanging="180"/>
      </w:pPr>
    </w:lvl>
  </w:abstractNum>
  <w:abstractNum w:abstractNumId="23" w15:restartNumberingAfterBreak="0">
    <w:nsid w:val="5D541F57"/>
    <w:multiLevelType w:val="multilevel"/>
    <w:tmpl w:val="F318A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2701A6"/>
    <w:multiLevelType w:val="hybridMultilevel"/>
    <w:tmpl w:val="B888ABAE"/>
    <w:lvl w:ilvl="0" w:tplc="7A9C3392">
      <w:start w:val="1"/>
      <w:numFmt w:val="bullet"/>
      <w:lvlText w:val="-"/>
      <w:lvlJc w:val="left"/>
      <w:pPr>
        <w:ind w:left="765" w:hanging="360"/>
      </w:pPr>
      <w:rPr>
        <w:rFonts w:ascii="Calibri" w:eastAsia="Times New Roman" w:hAnsi="Calibri" w:cs="Arial" w:hint="default"/>
      </w:rPr>
    </w:lvl>
    <w:lvl w:ilvl="1" w:tplc="F46EC88E" w:tentative="1">
      <w:start w:val="1"/>
      <w:numFmt w:val="bullet"/>
      <w:lvlText w:val="o"/>
      <w:lvlJc w:val="left"/>
      <w:pPr>
        <w:ind w:left="1485" w:hanging="360"/>
      </w:pPr>
      <w:rPr>
        <w:rFonts w:ascii="Courier New" w:hAnsi="Courier New" w:cs="Courier New" w:hint="default"/>
      </w:rPr>
    </w:lvl>
    <w:lvl w:ilvl="2" w:tplc="9C223304" w:tentative="1">
      <w:start w:val="1"/>
      <w:numFmt w:val="bullet"/>
      <w:lvlText w:val=""/>
      <w:lvlJc w:val="left"/>
      <w:pPr>
        <w:ind w:left="2205" w:hanging="360"/>
      </w:pPr>
      <w:rPr>
        <w:rFonts w:ascii="Wingdings" w:hAnsi="Wingdings" w:hint="default"/>
      </w:rPr>
    </w:lvl>
    <w:lvl w:ilvl="3" w:tplc="6BAE8C8A" w:tentative="1">
      <w:start w:val="1"/>
      <w:numFmt w:val="bullet"/>
      <w:lvlText w:val=""/>
      <w:lvlJc w:val="left"/>
      <w:pPr>
        <w:ind w:left="2925" w:hanging="360"/>
      </w:pPr>
      <w:rPr>
        <w:rFonts w:ascii="Symbol" w:hAnsi="Symbol" w:hint="default"/>
      </w:rPr>
    </w:lvl>
    <w:lvl w:ilvl="4" w:tplc="FB0EFA84" w:tentative="1">
      <w:start w:val="1"/>
      <w:numFmt w:val="bullet"/>
      <w:lvlText w:val="o"/>
      <w:lvlJc w:val="left"/>
      <w:pPr>
        <w:ind w:left="3645" w:hanging="360"/>
      </w:pPr>
      <w:rPr>
        <w:rFonts w:ascii="Courier New" w:hAnsi="Courier New" w:cs="Courier New" w:hint="default"/>
      </w:rPr>
    </w:lvl>
    <w:lvl w:ilvl="5" w:tplc="20662DCE" w:tentative="1">
      <w:start w:val="1"/>
      <w:numFmt w:val="bullet"/>
      <w:lvlText w:val=""/>
      <w:lvlJc w:val="left"/>
      <w:pPr>
        <w:ind w:left="4365" w:hanging="360"/>
      </w:pPr>
      <w:rPr>
        <w:rFonts w:ascii="Wingdings" w:hAnsi="Wingdings" w:hint="default"/>
      </w:rPr>
    </w:lvl>
    <w:lvl w:ilvl="6" w:tplc="C5FCCEFE" w:tentative="1">
      <w:start w:val="1"/>
      <w:numFmt w:val="bullet"/>
      <w:lvlText w:val=""/>
      <w:lvlJc w:val="left"/>
      <w:pPr>
        <w:ind w:left="5085" w:hanging="360"/>
      </w:pPr>
      <w:rPr>
        <w:rFonts w:ascii="Symbol" w:hAnsi="Symbol" w:hint="default"/>
      </w:rPr>
    </w:lvl>
    <w:lvl w:ilvl="7" w:tplc="7AFA36BE" w:tentative="1">
      <w:start w:val="1"/>
      <w:numFmt w:val="bullet"/>
      <w:lvlText w:val="o"/>
      <w:lvlJc w:val="left"/>
      <w:pPr>
        <w:ind w:left="5805" w:hanging="360"/>
      </w:pPr>
      <w:rPr>
        <w:rFonts w:ascii="Courier New" w:hAnsi="Courier New" w:cs="Courier New" w:hint="default"/>
      </w:rPr>
    </w:lvl>
    <w:lvl w:ilvl="8" w:tplc="A5B6D758" w:tentative="1">
      <w:start w:val="1"/>
      <w:numFmt w:val="bullet"/>
      <w:lvlText w:val=""/>
      <w:lvlJc w:val="left"/>
      <w:pPr>
        <w:ind w:left="6525" w:hanging="360"/>
      </w:pPr>
      <w:rPr>
        <w:rFonts w:ascii="Wingdings" w:hAnsi="Wingdings" w:hint="default"/>
      </w:rPr>
    </w:lvl>
  </w:abstractNum>
  <w:abstractNum w:abstractNumId="25" w15:restartNumberingAfterBreak="0">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614362E"/>
    <w:multiLevelType w:val="hybridMultilevel"/>
    <w:tmpl w:val="839220F6"/>
    <w:lvl w:ilvl="0" w:tplc="21EA92E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E5DEB"/>
    <w:multiLevelType w:val="hybridMultilevel"/>
    <w:tmpl w:val="433CBA60"/>
    <w:lvl w:ilvl="0" w:tplc="1860662A">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19"/>
  </w:num>
  <w:num w:numId="16">
    <w:abstractNumId w:val="15"/>
  </w:num>
  <w:num w:numId="17">
    <w:abstractNumId w:val="25"/>
  </w:num>
  <w:num w:numId="18">
    <w:abstractNumId w:val="13"/>
  </w:num>
  <w:num w:numId="19">
    <w:abstractNumId w:val="24"/>
  </w:num>
  <w:num w:numId="20">
    <w:abstractNumId w:val="20"/>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26"/>
  </w:num>
  <w:num w:numId="26">
    <w:abstractNumId w:val="10"/>
  </w:num>
  <w:num w:numId="27">
    <w:abstractNumId w:val="18"/>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03BD"/>
    <w:rsid w:val="0002277E"/>
    <w:rsid w:val="0002390E"/>
    <w:rsid w:val="000244B3"/>
    <w:rsid w:val="00024C63"/>
    <w:rsid w:val="0002543F"/>
    <w:rsid w:val="000276AB"/>
    <w:rsid w:val="0003026F"/>
    <w:rsid w:val="000303A0"/>
    <w:rsid w:val="000324F0"/>
    <w:rsid w:val="00032A12"/>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56ECF"/>
    <w:rsid w:val="0006410D"/>
    <w:rsid w:val="000646F4"/>
    <w:rsid w:val="000663D4"/>
    <w:rsid w:val="00067059"/>
    <w:rsid w:val="00071431"/>
    <w:rsid w:val="0007394C"/>
    <w:rsid w:val="00073ABA"/>
    <w:rsid w:val="00073AE6"/>
    <w:rsid w:val="00073D63"/>
    <w:rsid w:val="00073E95"/>
    <w:rsid w:val="000740F4"/>
    <w:rsid w:val="000764C1"/>
    <w:rsid w:val="0008106E"/>
    <w:rsid w:val="00083F01"/>
    <w:rsid w:val="0008438F"/>
    <w:rsid w:val="00087383"/>
    <w:rsid w:val="00090B7E"/>
    <w:rsid w:val="00090BF4"/>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B4614"/>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440"/>
    <w:rsid w:val="000F45CB"/>
    <w:rsid w:val="000F4627"/>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4FAA"/>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3B4"/>
    <w:rsid w:val="001E3DA2"/>
    <w:rsid w:val="001E4DAD"/>
    <w:rsid w:val="001E5201"/>
    <w:rsid w:val="001E6B06"/>
    <w:rsid w:val="001F0D23"/>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485"/>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455B"/>
    <w:rsid w:val="0029511E"/>
    <w:rsid w:val="00295F2B"/>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7B99"/>
    <w:rsid w:val="00377BEC"/>
    <w:rsid w:val="00380A19"/>
    <w:rsid w:val="00380E78"/>
    <w:rsid w:val="0038472D"/>
    <w:rsid w:val="00384F18"/>
    <w:rsid w:val="003865AD"/>
    <w:rsid w:val="00387F6B"/>
    <w:rsid w:val="00390552"/>
    <w:rsid w:val="00391714"/>
    <w:rsid w:val="00391AD7"/>
    <w:rsid w:val="00392583"/>
    <w:rsid w:val="00392E30"/>
    <w:rsid w:val="00395087"/>
    <w:rsid w:val="00395BD9"/>
    <w:rsid w:val="003A0415"/>
    <w:rsid w:val="003A13D4"/>
    <w:rsid w:val="003A13F5"/>
    <w:rsid w:val="003A2133"/>
    <w:rsid w:val="003A22F3"/>
    <w:rsid w:val="003A295C"/>
    <w:rsid w:val="003A36B2"/>
    <w:rsid w:val="003A36F0"/>
    <w:rsid w:val="003A3CE1"/>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1241"/>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0A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3390"/>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B6C"/>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862D1"/>
    <w:rsid w:val="005910A8"/>
    <w:rsid w:val="005924C7"/>
    <w:rsid w:val="005929C2"/>
    <w:rsid w:val="0059331A"/>
    <w:rsid w:val="00593D70"/>
    <w:rsid w:val="00594055"/>
    <w:rsid w:val="005954D0"/>
    <w:rsid w:val="005A03BF"/>
    <w:rsid w:val="005A0A9C"/>
    <w:rsid w:val="005A0EBF"/>
    <w:rsid w:val="005A2147"/>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50AD"/>
    <w:rsid w:val="005F53AA"/>
    <w:rsid w:val="005F584F"/>
    <w:rsid w:val="00601C7B"/>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2AC8"/>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6F7506"/>
    <w:rsid w:val="00701FCA"/>
    <w:rsid w:val="00703563"/>
    <w:rsid w:val="00703BF4"/>
    <w:rsid w:val="00704F2A"/>
    <w:rsid w:val="00706B09"/>
    <w:rsid w:val="007119DE"/>
    <w:rsid w:val="007133F3"/>
    <w:rsid w:val="007148AA"/>
    <w:rsid w:val="00716337"/>
    <w:rsid w:val="00716CBC"/>
    <w:rsid w:val="00716DAD"/>
    <w:rsid w:val="007176EE"/>
    <w:rsid w:val="00717FE9"/>
    <w:rsid w:val="00721023"/>
    <w:rsid w:val="007211A0"/>
    <w:rsid w:val="0072181C"/>
    <w:rsid w:val="00721B21"/>
    <w:rsid w:val="00722F91"/>
    <w:rsid w:val="00723C3E"/>
    <w:rsid w:val="00723EC7"/>
    <w:rsid w:val="007252F7"/>
    <w:rsid w:val="00725C9B"/>
    <w:rsid w:val="00726FF7"/>
    <w:rsid w:val="0072789A"/>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589"/>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6666D"/>
    <w:rsid w:val="008709FF"/>
    <w:rsid w:val="00870FB4"/>
    <w:rsid w:val="0087194B"/>
    <w:rsid w:val="00872984"/>
    <w:rsid w:val="00874B03"/>
    <w:rsid w:val="00874BBD"/>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2EB1"/>
    <w:rsid w:val="008A3A15"/>
    <w:rsid w:val="008A4237"/>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3C0B"/>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49BA"/>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516"/>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83E"/>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1B24"/>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3225"/>
    <w:rsid w:val="00AB454E"/>
    <w:rsid w:val="00AC0B04"/>
    <w:rsid w:val="00AC18E7"/>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D7E99"/>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8B2"/>
    <w:rsid w:val="00B8792A"/>
    <w:rsid w:val="00B87FA8"/>
    <w:rsid w:val="00B87FDA"/>
    <w:rsid w:val="00B900CF"/>
    <w:rsid w:val="00B9499F"/>
    <w:rsid w:val="00B96992"/>
    <w:rsid w:val="00BA074D"/>
    <w:rsid w:val="00BA0F33"/>
    <w:rsid w:val="00BA28B1"/>
    <w:rsid w:val="00BA2D8C"/>
    <w:rsid w:val="00BA3AF3"/>
    <w:rsid w:val="00BA58C0"/>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3922"/>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2A50"/>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1FC5"/>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B48"/>
    <w:rsid w:val="00D51F3E"/>
    <w:rsid w:val="00D53FCC"/>
    <w:rsid w:val="00D550C8"/>
    <w:rsid w:val="00D55FBF"/>
    <w:rsid w:val="00D562DD"/>
    <w:rsid w:val="00D63D90"/>
    <w:rsid w:val="00D6553D"/>
    <w:rsid w:val="00D65D62"/>
    <w:rsid w:val="00D6698F"/>
    <w:rsid w:val="00D67C9D"/>
    <w:rsid w:val="00D71477"/>
    <w:rsid w:val="00D71F6E"/>
    <w:rsid w:val="00D720A2"/>
    <w:rsid w:val="00D72773"/>
    <w:rsid w:val="00D74659"/>
    <w:rsid w:val="00D748EB"/>
    <w:rsid w:val="00D752B4"/>
    <w:rsid w:val="00D7587D"/>
    <w:rsid w:val="00D76963"/>
    <w:rsid w:val="00D76BD0"/>
    <w:rsid w:val="00D772BB"/>
    <w:rsid w:val="00D8020F"/>
    <w:rsid w:val="00D80C1B"/>
    <w:rsid w:val="00D81B76"/>
    <w:rsid w:val="00D82CEA"/>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57"/>
    <w:rsid w:val="00DE52E8"/>
    <w:rsid w:val="00DE7C8A"/>
    <w:rsid w:val="00DF1066"/>
    <w:rsid w:val="00DF2A8D"/>
    <w:rsid w:val="00DF3703"/>
    <w:rsid w:val="00DF5841"/>
    <w:rsid w:val="00DF586F"/>
    <w:rsid w:val="00DF6355"/>
    <w:rsid w:val="00DF77BA"/>
    <w:rsid w:val="00E0265D"/>
    <w:rsid w:val="00E0324B"/>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582A"/>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4ED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4C77"/>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91400"/>
    <w:rsid w:val="00FA0117"/>
    <w:rsid w:val="00FA1BC0"/>
    <w:rsid w:val="00FA1D8B"/>
    <w:rsid w:val="00FA213F"/>
    <w:rsid w:val="00FA2562"/>
    <w:rsid w:val="00FA32EE"/>
    <w:rsid w:val="00FA360F"/>
    <w:rsid w:val="00FA46DD"/>
    <w:rsid w:val="00FA4E45"/>
    <w:rsid w:val="00FA4F79"/>
    <w:rsid w:val="00FA53D9"/>
    <w:rsid w:val="00FA7B01"/>
    <w:rsid w:val="00FB01FD"/>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AEC8"/>
  <w15:docId w15:val="{C163DC68-EF3E-444C-9E9F-A65A333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93AEF"/>
    <w:rPr>
      <w:rFonts w:eastAsia="Times New Roman" w:cs="Arial"/>
      <w:b/>
      <w:bCs/>
      <w:color w:val="0070C0"/>
      <w:lang w:eastAsia="de-DE"/>
    </w:rPr>
  </w:style>
  <w:style w:type="character" w:customStyle="1" w:styleId="apple-converted-space">
    <w:name w:val="apple-converted-space"/>
    <w:basedOn w:val="Absatz-Standardschriftart"/>
    <w:rsid w:val="00874BBD"/>
  </w:style>
  <w:style w:type="character" w:styleId="Fett">
    <w:name w:val="Strong"/>
    <w:basedOn w:val="Absatz-Standardschriftart"/>
    <w:uiPriority w:val="22"/>
    <w:qFormat/>
    <w:rsid w:val="00451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0F5D-56A6-4D4D-AC58-14CD7F52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2020-10-22T15:02:00Z</cp:lastPrinted>
  <dcterms:created xsi:type="dcterms:W3CDTF">2022-02-07T19:09:00Z</dcterms:created>
  <dcterms:modified xsi:type="dcterms:W3CDTF">2022-02-07T19:09:00Z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