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1DB13" w14:textId="61BBCB17" w:rsidR="00C05AB1" w:rsidRPr="00BD1E27" w:rsidRDefault="00C05AB1" w:rsidP="00C05AB1">
      <w:pPr>
        <w:pStyle w:val="berschrift3"/>
        <w:numPr>
          <w:ilvl w:val="0"/>
          <w:numId w:val="0"/>
        </w:numPr>
        <w:jc w:val="left"/>
      </w:pPr>
      <w:bookmarkStart w:id="0" w:name="_Toc201056239"/>
      <w:r>
        <w:t xml:space="preserve">2.5.2. </w:t>
      </w:r>
      <w:r w:rsidRPr="00BD1E27">
        <w:t>Beugung von Licht</w:t>
      </w:r>
      <w:bookmarkEnd w:id="0"/>
      <w:r w:rsidR="008932FC">
        <w:t xml:space="preserve"> am Einfachspalt</w:t>
      </w:r>
    </w:p>
    <w:p w14:paraId="1B4E5A2C" w14:textId="77777777" w:rsidR="00C05AB1" w:rsidRDefault="00C05AB1" w:rsidP="00C05AB1">
      <w:pPr>
        <w:pStyle w:val="StandardWeb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15C702A" wp14:editId="2EEDA14A">
            <wp:simplePos x="0" y="0"/>
            <wp:positionH relativeFrom="column">
              <wp:posOffset>3851394</wp:posOffset>
            </wp:positionH>
            <wp:positionV relativeFrom="paragraph">
              <wp:posOffset>2596</wp:posOffset>
            </wp:positionV>
            <wp:extent cx="1800000" cy="1607487"/>
            <wp:effectExtent l="0" t="0" r="0" b="0"/>
            <wp:wrapSquare wrapText="bothSides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0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5FD9D" w14:textId="77777777" w:rsidR="00C05AB1" w:rsidRDefault="00C05AB1" w:rsidP="00C05AB1">
      <w:pPr>
        <w:pStyle w:val="Merksatz"/>
      </w:pPr>
      <w:r>
        <w:sym w:font="Marlett" w:char="F034"/>
      </w:r>
      <w:r w:rsidRPr="00BD1E27">
        <w:t>Die Ausbreitung des Lichtes hinter schmalen Spalten, Kanten und</w:t>
      </w:r>
      <w:r>
        <w:t xml:space="preserve"> </w:t>
      </w:r>
      <w:r w:rsidRPr="00BD1E27">
        <w:t>kleinen Hindernissen auch in die Schattenräume hinein wird als</w:t>
      </w:r>
      <w:r>
        <w:t xml:space="preserve"> </w:t>
      </w:r>
      <w:r w:rsidRPr="00BD1E27">
        <w:rPr>
          <w:bCs w:val="0"/>
        </w:rPr>
        <w:t>Beugung</w:t>
      </w:r>
      <w:r>
        <w:rPr>
          <w:bCs w:val="0"/>
        </w:rPr>
        <w:t xml:space="preserve"> </w:t>
      </w:r>
      <w:r w:rsidRPr="00BD1E27">
        <w:t>bezeichnet.</w:t>
      </w:r>
    </w:p>
    <w:p w14:paraId="3D3F2948" w14:textId="77777777" w:rsidR="00C05AB1" w:rsidRDefault="00C05AB1" w:rsidP="00C05AB1">
      <w:pPr>
        <w:pStyle w:val="StandardWeb"/>
      </w:pPr>
    </w:p>
    <w:p w14:paraId="3B1F804E" w14:textId="77777777" w:rsidR="00C05AB1" w:rsidRDefault="00C05AB1" w:rsidP="00C05AB1">
      <w:r w:rsidRPr="00BD1E27">
        <w:t>Diese scheinbare Ablenkung des</w:t>
      </w:r>
      <w:r>
        <w:t xml:space="preserve"> </w:t>
      </w:r>
      <w:r w:rsidRPr="00BD1E27">
        <w:t>Lichtes aus seiner geradlinigen</w:t>
      </w:r>
      <w:r>
        <w:t xml:space="preserve"> </w:t>
      </w:r>
      <w:r w:rsidRPr="00BD1E27">
        <w:t>Ausbreitungsrichtung ist mit dem</w:t>
      </w:r>
      <w:r>
        <w:t xml:space="preserve"> </w:t>
      </w:r>
      <w:r w:rsidRPr="00BD1E27">
        <w:t>Modell Lichtstrahl nicht erklärbar</w:t>
      </w:r>
    </w:p>
    <w:p w14:paraId="4289FF4F" w14:textId="77777777" w:rsidR="00C05AB1" w:rsidRDefault="00C05AB1" w:rsidP="00C05AB1">
      <w:pPr>
        <w:pStyle w:val="StandardWeb"/>
      </w:pPr>
    </w:p>
    <w:p w14:paraId="431464C6" w14:textId="77777777" w:rsidR="00C05AB1" w:rsidRDefault="00C05AB1" w:rsidP="00C05AB1">
      <w:r w:rsidRPr="00BD1E27">
        <w:t xml:space="preserve">Die Beugung ist eine wellentypische Erscheinung. Da sie bei Licht auftritt, kann man folgern: </w:t>
      </w:r>
    </w:p>
    <w:p w14:paraId="006AC910" w14:textId="6E14BC5E" w:rsidR="00C05AB1" w:rsidRDefault="00C05AB1" w:rsidP="00C05AB1"/>
    <w:p w14:paraId="1BB02915" w14:textId="491725D1" w:rsidR="00C05AB1" w:rsidRDefault="00C05AB1" w:rsidP="00C05AB1">
      <w:pPr>
        <w:pStyle w:val="Merksatz"/>
      </w:pPr>
      <w:r>
        <w:sym w:font="Marlett" w:char="F034"/>
      </w:r>
      <w:r w:rsidRPr="00BD1E27">
        <w:t>Licht hat Welleneigenschaften.</w:t>
      </w:r>
    </w:p>
    <w:p w14:paraId="5024BBEF" w14:textId="1812AA68" w:rsidR="00C05AB1" w:rsidRDefault="00AD1803" w:rsidP="00C05AB1">
      <w:r>
        <w:rPr>
          <w:noProof/>
        </w:rPr>
        <w:drawing>
          <wp:anchor distT="0" distB="0" distL="114300" distR="114300" simplePos="0" relativeHeight="251668480" behindDoc="0" locked="0" layoutInCell="1" allowOverlap="1" wp14:anchorId="515448C3" wp14:editId="74507F0E">
            <wp:simplePos x="0" y="0"/>
            <wp:positionH relativeFrom="column">
              <wp:posOffset>4551331</wp:posOffset>
            </wp:positionH>
            <wp:positionV relativeFrom="paragraph">
              <wp:posOffset>3419</wp:posOffset>
            </wp:positionV>
            <wp:extent cx="1079500" cy="998220"/>
            <wp:effectExtent l="0" t="0" r="635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614CA" w14:textId="6CCDFAED" w:rsidR="000E3B3F" w:rsidRDefault="000E3B3F" w:rsidP="00C05AB1">
      <w:r>
        <w:t>Lässt man Licht auf einen Einfachspalt leuchten, so entsteht dahinter ein Inte</w:t>
      </w:r>
      <w:r w:rsidR="004E2CCD">
        <w:t>r</w:t>
      </w:r>
      <w:r>
        <w:t>ferenzmuster</w:t>
      </w:r>
      <w:r w:rsidR="004E2CCD">
        <w:t>. Dieses besteht aus einem Hauptmaximum (Maximum nullter Ordnung) und weiteren hellen Streifen (Maxima n-ter Ordnung). Dazwischen liegen dunkle Streifen (Minima n-ter Ordnung).</w:t>
      </w:r>
    </w:p>
    <w:p w14:paraId="3520570D" w14:textId="34B8586D" w:rsidR="004E2CCD" w:rsidRDefault="004E2CCD" w:rsidP="00C05AB1"/>
    <w:p w14:paraId="1F252B1C" w14:textId="7E3E4689" w:rsidR="004E2CCD" w:rsidRDefault="002D167D" w:rsidP="00C05AB1">
      <w:r>
        <w:rPr>
          <w:noProof/>
        </w:rPr>
        <w:drawing>
          <wp:anchor distT="0" distB="0" distL="114300" distR="114300" simplePos="0" relativeHeight="251669504" behindDoc="0" locked="0" layoutInCell="1" allowOverlap="1" wp14:anchorId="3624E437" wp14:editId="1F865BAA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1079500" cy="2614930"/>
            <wp:effectExtent l="0" t="0" r="635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261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53257" w14:textId="78942E84" w:rsidR="004E2CCD" w:rsidRDefault="002D167D" w:rsidP="00C05AB1">
      <w:r>
        <w:t>Eine ebene Welle trifft auf einen Spalt</w:t>
      </w:r>
      <w:r w:rsidR="00E46389">
        <w:t xml:space="preserve">. Nach dem </w:t>
      </w:r>
      <w:proofErr w:type="spellStart"/>
      <w:r w:rsidR="00E46389">
        <w:t>Huygens‘schen</w:t>
      </w:r>
      <w:proofErr w:type="spellEnd"/>
      <w:r w:rsidR="00E46389">
        <w:t xml:space="preserve"> Prinzip ist jeder Punkt einer Welle ein Ausgangspunkt einer neuen Elementarwelle. Diese überlagern sich und es kommt zu Interferenzerscheinungen.</w:t>
      </w:r>
    </w:p>
    <w:p w14:paraId="67C98951" w14:textId="39A5E2EF" w:rsidR="00E46389" w:rsidRDefault="00E46389" w:rsidP="00C05AB1"/>
    <w:p w14:paraId="2BFFC3FE" w14:textId="3A411A8F" w:rsidR="00E46389" w:rsidRDefault="00E46389" w:rsidP="00C05AB1">
      <w:r>
        <w:t xml:space="preserve">Bei einem Unterschied von </w:t>
      </w:r>
      <w:r w:rsidR="005E496B" w:rsidRPr="005E496B">
        <w:rPr>
          <w:position w:val="-22"/>
        </w:rPr>
        <w:object w:dxaOrig="240" w:dyaOrig="580" w14:anchorId="4A2D5A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85pt;height:29.25pt" o:ole="">
            <v:imagedata r:id="rId11" o:title=""/>
          </v:shape>
          <o:OLEObject Type="Embed" ProgID="Equation.DSMT4" ShapeID="_x0000_i1025" DrawAspect="Content" ObjectID="_1647167489" r:id="rId12"/>
        </w:object>
      </w:r>
      <w:r w:rsidR="005E496B">
        <w:t xml:space="preserve"> kommt es dabei zur Auslöschung (destruktive Interferenz, bei einem Unterschied von </w:t>
      </w:r>
      <w:r w:rsidR="005E496B" w:rsidRPr="005E496B">
        <w:rPr>
          <w:position w:val="-6"/>
        </w:rPr>
        <w:object w:dxaOrig="200" w:dyaOrig="260" w14:anchorId="6C1A1461">
          <v:shape id="_x0000_i1026" type="#_x0000_t75" style="width:9.9pt;height:12.65pt" o:ole="">
            <v:imagedata r:id="rId13" o:title=""/>
          </v:shape>
          <o:OLEObject Type="Embed" ProgID="Equation.DSMT4" ShapeID="_x0000_i1026" DrawAspect="Content" ObjectID="_1647167490" r:id="rId14"/>
        </w:object>
      </w:r>
      <w:r w:rsidR="005E496B">
        <w:t xml:space="preserve"> zu einer Verstärkung (konstruktive Interferenz). Aus diesen Überlegungen lassen sich die Minima und Maxima berechnen.</w:t>
      </w:r>
    </w:p>
    <w:p w14:paraId="6EA4A076" w14:textId="3CACB7C4" w:rsidR="005E496B" w:rsidRDefault="005E496B" w:rsidP="00C05AB1"/>
    <w:p w14:paraId="4912BF6E" w14:textId="77777777" w:rsidR="005E496B" w:rsidRDefault="005E496B" w:rsidP="00C05AB1"/>
    <w:p w14:paraId="1ED35715" w14:textId="1F200557" w:rsidR="00F93CE3" w:rsidRDefault="00F93CE3" w:rsidP="00C05AB1"/>
    <w:p w14:paraId="2A799EDE" w14:textId="16D07056" w:rsidR="00AD1803" w:rsidRDefault="00AD1803" w:rsidP="00C05AB1"/>
    <w:p w14:paraId="557243DF" w14:textId="1BA2976F" w:rsidR="00AD1803" w:rsidRDefault="00AD1803" w:rsidP="00C05AB1"/>
    <w:p w14:paraId="4798337F" w14:textId="77777777" w:rsidR="00AD1803" w:rsidRDefault="00AD1803" w:rsidP="00C05AB1"/>
    <w:p w14:paraId="0373B833" w14:textId="096E3E3E" w:rsidR="00756B49" w:rsidRDefault="00756B49" w:rsidP="00C05AB1"/>
    <w:p w14:paraId="65568F76" w14:textId="11FC8C81" w:rsidR="00756B49" w:rsidRDefault="007A5158" w:rsidP="00C05AB1">
      <w:r>
        <w:t>Bestimmung der Minima</w:t>
      </w:r>
    </w:p>
    <w:p w14:paraId="20A6F2CD" w14:textId="7293FCD5" w:rsidR="007A5158" w:rsidRDefault="007A5158" w:rsidP="00C05AB1">
      <w:r>
        <w:rPr>
          <w:noProof/>
        </w:rPr>
        <w:drawing>
          <wp:anchor distT="0" distB="0" distL="114300" distR="114300" simplePos="0" relativeHeight="251670528" behindDoc="0" locked="0" layoutInCell="1" allowOverlap="1" wp14:anchorId="2FE1A2E9" wp14:editId="5BDC06E4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2159635" cy="95504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Dazu </w:t>
      </w:r>
      <w:r w:rsidR="006907B0">
        <w:t xml:space="preserve">„unterteilt“ man den Spalt in zwei Abschnitte. Bei einem bestimmten Winkel </w:t>
      </w:r>
      <w:r w:rsidR="006907B0">
        <w:rPr>
          <w:rFonts w:cstheme="minorHAnsi"/>
        </w:rPr>
        <w:t>α</w:t>
      </w:r>
      <w:r w:rsidR="006907B0">
        <w:rPr>
          <w:rFonts w:cstheme="minorHAnsi"/>
          <w:vertAlign w:val="subscript"/>
        </w:rPr>
        <w:t>1</w:t>
      </w:r>
      <w:r w:rsidR="006907B0">
        <w:rPr>
          <w:rFonts w:cstheme="minorHAnsi"/>
        </w:rPr>
        <w:t xml:space="preserve"> gibt es in diesen Abschnitten jeweils ein Strahlenpaar mit dem Gangunterschied von </w:t>
      </w:r>
      <w:r w:rsidR="006907B0" w:rsidRPr="005E496B">
        <w:rPr>
          <w:position w:val="-22"/>
        </w:rPr>
        <w:object w:dxaOrig="240" w:dyaOrig="580" w14:anchorId="31EA3262">
          <v:shape id="_x0000_i1027" type="#_x0000_t75" style="width:11.85pt;height:29.25pt" o:ole="">
            <v:imagedata r:id="rId11" o:title=""/>
          </v:shape>
          <o:OLEObject Type="Embed" ProgID="Equation.DSMT4" ShapeID="_x0000_i1027" DrawAspect="Content" ObjectID="_1647167491" r:id="rId16"/>
        </w:object>
      </w:r>
      <w:r w:rsidR="00BB13D4">
        <w:t xml:space="preserve"> (z.B. w</w:t>
      </w:r>
      <w:r w:rsidR="00BB13D4">
        <w:rPr>
          <w:vertAlign w:val="subscript"/>
        </w:rPr>
        <w:t>10</w:t>
      </w:r>
      <w:r w:rsidR="00BB13D4">
        <w:t xml:space="preserve"> und w</w:t>
      </w:r>
      <w:r w:rsidR="00A7389A">
        <w:rPr>
          <w:vertAlign w:val="subscript"/>
        </w:rPr>
        <w:t>5</w:t>
      </w:r>
      <w:r w:rsidR="00BB13D4">
        <w:rPr>
          <w:vertAlign w:val="subscript"/>
        </w:rPr>
        <w:t>0</w:t>
      </w:r>
      <w:r w:rsidR="00BB13D4">
        <w:t>).</w:t>
      </w:r>
    </w:p>
    <w:p w14:paraId="11B6066B" w14:textId="77777777" w:rsidR="00AD1803" w:rsidRDefault="00AD1803" w:rsidP="00C05AB1"/>
    <w:p w14:paraId="48FFEB66" w14:textId="5882FD10" w:rsidR="00BB13D4" w:rsidRDefault="00BB13D4" w:rsidP="00C05AB1">
      <w:r>
        <w:t xml:space="preserve">Aus den trigonometrischen Beziehungen ergibt sich </w:t>
      </w:r>
      <w:r w:rsidRPr="00BB13D4">
        <w:rPr>
          <w:position w:val="-22"/>
        </w:rPr>
        <w:object w:dxaOrig="1180" w:dyaOrig="580" w14:anchorId="271B1E23">
          <v:shape id="_x0000_i1028" type="#_x0000_t75" style="width:59.35pt;height:29.25pt" o:ole="">
            <v:imagedata r:id="rId17" o:title=""/>
          </v:shape>
          <o:OLEObject Type="Embed" ProgID="Equation.DSMT4" ShapeID="_x0000_i1028" DrawAspect="Content" ObjectID="_1647167492" r:id="rId18"/>
        </w:object>
      </w:r>
      <w:r>
        <w:t>.</w:t>
      </w:r>
    </w:p>
    <w:p w14:paraId="3433286E" w14:textId="78499506" w:rsidR="00BB13D4" w:rsidRDefault="00BB13D4" w:rsidP="00C05AB1">
      <w:r>
        <w:t>d … Spaltbreite</w:t>
      </w:r>
      <w:r>
        <w:tab/>
      </w:r>
      <w:r>
        <w:tab/>
        <w:t>s … Abstand vom Maximum 0 zum Minimum 1</w:t>
      </w:r>
    </w:p>
    <w:p w14:paraId="39E70117" w14:textId="112314FD" w:rsidR="00BB13D4" w:rsidRDefault="00BB13D4" w:rsidP="00C05AB1">
      <w:r>
        <w:t xml:space="preserve">e … Abstand </w:t>
      </w:r>
      <w:r w:rsidR="009D6D7C">
        <w:t>zwischen Minimum 1 und dem Spalt.</w:t>
      </w:r>
    </w:p>
    <w:p w14:paraId="09E8E9A2" w14:textId="47579669" w:rsidR="009D6D7C" w:rsidRDefault="009D6D7C" w:rsidP="00C05AB1"/>
    <w:p w14:paraId="06321A95" w14:textId="2850489D" w:rsidR="009D6D7C" w:rsidRPr="006907B0" w:rsidRDefault="009D6D7C" w:rsidP="00C05AB1">
      <w:r>
        <w:t xml:space="preserve">Für weitere Minima gilt: </w:t>
      </w:r>
      <w:r w:rsidRPr="009D6D7C">
        <w:rPr>
          <w:position w:val="-28"/>
        </w:rPr>
        <w:object w:dxaOrig="1460" w:dyaOrig="639" w14:anchorId="1ED1A314">
          <v:shape id="_x0000_i1029" type="#_x0000_t75" style="width:72.8pt;height:32.05pt" o:ole="">
            <v:imagedata r:id="rId19" o:title=""/>
          </v:shape>
          <o:OLEObject Type="Embed" ProgID="Equation.DSMT4" ShapeID="_x0000_i1029" DrawAspect="Content" ObjectID="_1647167493" r:id="rId20"/>
        </w:object>
      </w:r>
      <w:r w:rsidR="00B61570">
        <w:t>.</w:t>
      </w:r>
    </w:p>
    <w:p w14:paraId="4F3FE266" w14:textId="785BBB45" w:rsidR="00363BDC" w:rsidRPr="00363BDC" w:rsidRDefault="00363BDC" w:rsidP="005D3582">
      <w:pPr>
        <w:rPr>
          <w:rFonts w:cstheme="minorHAnsi"/>
          <w:sz w:val="20"/>
        </w:rPr>
      </w:pPr>
    </w:p>
    <w:p w14:paraId="3DCD97E6" w14:textId="0C6E8359" w:rsidR="00B61570" w:rsidRDefault="00B61570" w:rsidP="004F2BB4">
      <w:pPr>
        <w:rPr>
          <w:sz w:val="20"/>
        </w:rPr>
      </w:pPr>
    </w:p>
    <w:p w14:paraId="44768A47" w14:textId="5E405B92" w:rsidR="00B61570" w:rsidRDefault="00B61570" w:rsidP="004F2BB4">
      <w:pPr>
        <w:rPr>
          <w:szCs w:val="22"/>
        </w:rPr>
      </w:pPr>
      <w:r w:rsidRPr="00B61570">
        <w:rPr>
          <w:noProof/>
          <w:szCs w:val="22"/>
        </w:rPr>
        <w:lastRenderedPageBreak/>
        <w:drawing>
          <wp:anchor distT="0" distB="0" distL="114300" distR="114300" simplePos="0" relativeHeight="251671552" behindDoc="0" locked="0" layoutInCell="1" allowOverlap="1" wp14:anchorId="4870A209" wp14:editId="54341AE5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160000" cy="1203247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03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570">
        <w:rPr>
          <w:szCs w:val="22"/>
        </w:rPr>
        <w:t xml:space="preserve">Zur Bestimmung der Maxima </w:t>
      </w:r>
      <w:r>
        <w:rPr>
          <w:szCs w:val="22"/>
        </w:rPr>
        <w:t xml:space="preserve">„unterteilt“ man den Spalt in eine ungerade Anzahl von Abschnitten. Das erste und zweite Lichtbündel </w:t>
      </w:r>
      <w:proofErr w:type="gramStart"/>
      <w:r>
        <w:rPr>
          <w:szCs w:val="22"/>
        </w:rPr>
        <w:t>interferieren</w:t>
      </w:r>
      <w:proofErr w:type="gramEnd"/>
      <w:r>
        <w:rPr>
          <w:szCs w:val="22"/>
        </w:rPr>
        <w:t xml:space="preserve"> destruktiv, aus de</w:t>
      </w:r>
      <w:r w:rsidR="00A7389A">
        <w:rPr>
          <w:szCs w:val="22"/>
        </w:rPr>
        <w:t>m</w:t>
      </w:r>
      <w:r>
        <w:rPr>
          <w:szCs w:val="22"/>
        </w:rPr>
        <w:t xml:space="preserve"> Licht des dritten Lichtbündels ergibt sich das erste Maximum.</w:t>
      </w:r>
    </w:p>
    <w:p w14:paraId="50C44FA1" w14:textId="162FB2A6" w:rsidR="00B61570" w:rsidRDefault="00B61570" w:rsidP="004F2BB4">
      <w:pPr>
        <w:rPr>
          <w:szCs w:val="22"/>
        </w:rPr>
      </w:pPr>
    </w:p>
    <w:p w14:paraId="3EE55801" w14:textId="6DF89EE7" w:rsidR="00B61570" w:rsidRDefault="00B61570" w:rsidP="004F2BB4">
      <w:pPr>
        <w:rPr>
          <w:szCs w:val="22"/>
        </w:rPr>
      </w:pPr>
    </w:p>
    <w:p w14:paraId="75F4EA58" w14:textId="06D6782B" w:rsidR="00AD1803" w:rsidRDefault="00AD1803" w:rsidP="004F2BB4">
      <w:pPr>
        <w:rPr>
          <w:szCs w:val="22"/>
        </w:rPr>
      </w:pPr>
    </w:p>
    <w:p w14:paraId="6CCCC975" w14:textId="77777777" w:rsidR="00AD1803" w:rsidRDefault="00AD1803" w:rsidP="004F2BB4">
      <w:pPr>
        <w:rPr>
          <w:szCs w:val="22"/>
        </w:rPr>
      </w:pPr>
    </w:p>
    <w:p w14:paraId="3AEB7CA3" w14:textId="01F48083" w:rsidR="00B61570" w:rsidRDefault="00B61570" w:rsidP="004F2BB4">
      <w:r>
        <w:rPr>
          <w:szCs w:val="22"/>
        </w:rPr>
        <w:t xml:space="preserve">Es </w:t>
      </w:r>
      <w:r w:rsidR="00C47FF5">
        <w:rPr>
          <w:szCs w:val="22"/>
        </w:rPr>
        <w:t>gilt für das Maximum erster Ordnung:</w:t>
      </w:r>
      <w:r>
        <w:rPr>
          <w:szCs w:val="22"/>
        </w:rPr>
        <w:t xml:space="preserve"> </w:t>
      </w:r>
      <w:r w:rsidRPr="00BB13D4">
        <w:rPr>
          <w:position w:val="-22"/>
        </w:rPr>
        <w:object w:dxaOrig="1800" w:dyaOrig="820" w14:anchorId="52C101BF">
          <v:shape id="_x0000_i1030" type="#_x0000_t75" style="width:90.2pt;height:41.15pt" o:ole="">
            <v:imagedata r:id="rId22" o:title=""/>
          </v:shape>
          <o:OLEObject Type="Embed" ProgID="Equation.DSMT4" ShapeID="_x0000_i1030" DrawAspect="Content" ObjectID="_1647167494" r:id="rId23"/>
        </w:object>
      </w:r>
      <w:r w:rsidR="00C47FF5">
        <w:t>.</w:t>
      </w:r>
    </w:p>
    <w:p w14:paraId="1BF2DFEF" w14:textId="2B78C1F5" w:rsidR="00C47FF5" w:rsidRPr="00B61570" w:rsidRDefault="00C47FF5" w:rsidP="004F2BB4">
      <w:pPr>
        <w:rPr>
          <w:szCs w:val="22"/>
        </w:rPr>
      </w:pPr>
      <w:r>
        <w:t xml:space="preserve">Für weitere Maxima gilt: </w:t>
      </w:r>
      <w:r w:rsidRPr="009D6D7C">
        <w:rPr>
          <w:position w:val="-28"/>
        </w:rPr>
        <w:object w:dxaOrig="2020" w:dyaOrig="680" w14:anchorId="5F42156B">
          <v:shape id="_x0000_i1031" type="#_x0000_t75" style="width:101.25pt;height:33.65pt" o:ole="">
            <v:imagedata r:id="rId24" o:title=""/>
          </v:shape>
          <o:OLEObject Type="Embed" ProgID="Equation.DSMT4" ShapeID="_x0000_i1031" DrawAspect="Content" ObjectID="_1647167495" r:id="rId25"/>
        </w:object>
      </w:r>
    </w:p>
    <w:p w14:paraId="6855092F" w14:textId="0759846B" w:rsidR="00B61570" w:rsidRDefault="00B61570" w:rsidP="004F2BB4">
      <w:pPr>
        <w:rPr>
          <w:sz w:val="20"/>
        </w:rPr>
      </w:pPr>
      <w:bookmarkStart w:id="1" w:name="_GoBack"/>
      <w:bookmarkEnd w:id="1"/>
    </w:p>
    <w:sectPr w:rsidR="00B61570" w:rsidSect="00AD1803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F0695" w14:textId="77777777" w:rsidR="00FC1016" w:rsidRDefault="00FC1016" w:rsidP="00DC7418">
      <w:r>
        <w:separator/>
      </w:r>
    </w:p>
  </w:endnote>
  <w:endnote w:type="continuationSeparator" w:id="0">
    <w:p w14:paraId="70998331" w14:textId="77777777" w:rsidR="00FC1016" w:rsidRDefault="00FC1016" w:rsidP="00DC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7FDF2" w14:textId="77777777" w:rsidR="00FC1016" w:rsidRDefault="00FC1016" w:rsidP="00DC7418">
      <w:r>
        <w:separator/>
      </w:r>
    </w:p>
  </w:footnote>
  <w:footnote w:type="continuationSeparator" w:id="0">
    <w:p w14:paraId="1E6F2B03" w14:textId="77777777" w:rsidR="00FC1016" w:rsidRDefault="00FC1016" w:rsidP="00DC7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6" w15:restartNumberingAfterBreak="0">
    <w:nsid w:val="508F453E"/>
    <w:multiLevelType w:val="hybridMultilevel"/>
    <w:tmpl w:val="B590E89C"/>
    <w:lvl w:ilvl="0" w:tplc="7932E0A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BC646A" w:tentative="1">
      <w:start w:val="1"/>
      <w:numFmt w:val="lowerLetter"/>
      <w:lvlText w:val="%2."/>
      <w:lvlJc w:val="left"/>
      <w:pPr>
        <w:ind w:left="1080" w:hanging="360"/>
      </w:pPr>
    </w:lvl>
    <w:lvl w:ilvl="2" w:tplc="AAA86C6C" w:tentative="1">
      <w:start w:val="1"/>
      <w:numFmt w:val="lowerRoman"/>
      <w:lvlText w:val="%3."/>
      <w:lvlJc w:val="right"/>
      <w:pPr>
        <w:ind w:left="1800" w:hanging="180"/>
      </w:pPr>
    </w:lvl>
    <w:lvl w:ilvl="3" w:tplc="D38883A8" w:tentative="1">
      <w:start w:val="1"/>
      <w:numFmt w:val="decimal"/>
      <w:lvlText w:val="%4."/>
      <w:lvlJc w:val="left"/>
      <w:pPr>
        <w:ind w:left="2520" w:hanging="360"/>
      </w:pPr>
    </w:lvl>
    <w:lvl w:ilvl="4" w:tplc="368A9CA8" w:tentative="1">
      <w:start w:val="1"/>
      <w:numFmt w:val="lowerLetter"/>
      <w:lvlText w:val="%5."/>
      <w:lvlJc w:val="left"/>
      <w:pPr>
        <w:ind w:left="3240" w:hanging="360"/>
      </w:pPr>
    </w:lvl>
    <w:lvl w:ilvl="5" w:tplc="3EE674A4" w:tentative="1">
      <w:start w:val="1"/>
      <w:numFmt w:val="lowerRoman"/>
      <w:lvlText w:val="%6."/>
      <w:lvlJc w:val="right"/>
      <w:pPr>
        <w:ind w:left="3960" w:hanging="180"/>
      </w:pPr>
    </w:lvl>
    <w:lvl w:ilvl="6" w:tplc="4718F1D6" w:tentative="1">
      <w:start w:val="1"/>
      <w:numFmt w:val="decimal"/>
      <w:lvlText w:val="%7."/>
      <w:lvlJc w:val="left"/>
      <w:pPr>
        <w:ind w:left="4680" w:hanging="360"/>
      </w:pPr>
    </w:lvl>
    <w:lvl w:ilvl="7" w:tplc="2A7E933E" w:tentative="1">
      <w:start w:val="1"/>
      <w:numFmt w:val="lowerLetter"/>
      <w:lvlText w:val="%8."/>
      <w:lvlJc w:val="left"/>
      <w:pPr>
        <w:ind w:left="5400" w:hanging="360"/>
      </w:pPr>
    </w:lvl>
    <w:lvl w:ilvl="8" w:tplc="599E77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 w15:restartNumberingAfterBreak="0">
    <w:nsid w:val="5D08350A"/>
    <w:multiLevelType w:val="hybridMultilevel"/>
    <w:tmpl w:val="6BCE48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250C4A"/>
    <w:multiLevelType w:val="hybridMultilevel"/>
    <w:tmpl w:val="74324000"/>
    <w:lvl w:ilvl="0" w:tplc="7A9C3392">
      <w:start w:val="1"/>
      <w:numFmt w:val="decimal"/>
      <w:lvlText w:val="%1."/>
      <w:lvlJc w:val="left"/>
      <w:pPr>
        <w:ind w:left="720" w:hanging="360"/>
      </w:pPr>
    </w:lvl>
    <w:lvl w:ilvl="1" w:tplc="F46EC88E" w:tentative="1">
      <w:start w:val="1"/>
      <w:numFmt w:val="lowerLetter"/>
      <w:lvlText w:val="%2."/>
      <w:lvlJc w:val="left"/>
      <w:pPr>
        <w:ind w:left="1440" w:hanging="360"/>
      </w:pPr>
    </w:lvl>
    <w:lvl w:ilvl="2" w:tplc="9C223304" w:tentative="1">
      <w:start w:val="1"/>
      <w:numFmt w:val="lowerRoman"/>
      <w:lvlText w:val="%3."/>
      <w:lvlJc w:val="right"/>
      <w:pPr>
        <w:ind w:left="2160" w:hanging="180"/>
      </w:pPr>
    </w:lvl>
    <w:lvl w:ilvl="3" w:tplc="6BAE8C8A" w:tentative="1">
      <w:start w:val="1"/>
      <w:numFmt w:val="decimal"/>
      <w:lvlText w:val="%4."/>
      <w:lvlJc w:val="left"/>
      <w:pPr>
        <w:ind w:left="2880" w:hanging="360"/>
      </w:pPr>
    </w:lvl>
    <w:lvl w:ilvl="4" w:tplc="FB0EFA84" w:tentative="1">
      <w:start w:val="1"/>
      <w:numFmt w:val="lowerLetter"/>
      <w:lvlText w:val="%5."/>
      <w:lvlJc w:val="left"/>
      <w:pPr>
        <w:ind w:left="3600" w:hanging="360"/>
      </w:pPr>
    </w:lvl>
    <w:lvl w:ilvl="5" w:tplc="20662DCE" w:tentative="1">
      <w:start w:val="1"/>
      <w:numFmt w:val="lowerRoman"/>
      <w:lvlText w:val="%6."/>
      <w:lvlJc w:val="right"/>
      <w:pPr>
        <w:ind w:left="4320" w:hanging="180"/>
      </w:pPr>
    </w:lvl>
    <w:lvl w:ilvl="6" w:tplc="C5FCCEFE" w:tentative="1">
      <w:start w:val="1"/>
      <w:numFmt w:val="decimal"/>
      <w:lvlText w:val="%7."/>
      <w:lvlJc w:val="left"/>
      <w:pPr>
        <w:ind w:left="5040" w:hanging="360"/>
      </w:pPr>
    </w:lvl>
    <w:lvl w:ilvl="7" w:tplc="7AFA36BE" w:tentative="1">
      <w:start w:val="1"/>
      <w:numFmt w:val="lowerLetter"/>
      <w:lvlText w:val="%8."/>
      <w:lvlJc w:val="left"/>
      <w:pPr>
        <w:ind w:left="5760" w:hanging="360"/>
      </w:pPr>
    </w:lvl>
    <w:lvl w:ilvl="8" w:tplc="A5B6D7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B5E3D"/>
    <w:multiLevelType w:val="singleLevel"/>
    <w:tmpl w:val="D9401A6C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22" w15:restartNumberingAfterBreak="0">
    <w:nsid w:val="672701A6"/>
    <w:multiLevelType w:val="hybridMultilevel"/>
    <w:tmpl w:val="B888ABAE"/>
    <w:lvl w:ilvl="0" w:tplc="0407000F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19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F5C6DD9"/>
    <w:multiLevelType w:val="hybridMultilevel"/>
    <w:tmpl w:val="03C84B7C"/>
    <w:lvl w:ilvl="0" w:tplc="18606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BE5DEB"/>
    <w:multiLevelType w:val="hybridMultilevel"/>
    <w:tmpl w:val="433CBA60"/>
    <w:lvl w:ilvl="0" w:tplc="0407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3"/>
  </w:num>
  <w:num w:numId="17">
    <w:abstractNumId w:val="23"/>
  </w:num>
  <w:num w:numId="18">
    <w:abstractNumId w:val="11"/>
  </w:num>
  <w:num w:numId="19">
    <w:abstractNumId w:val="22"/>
  </w:num>
  <w:num w:numId="20">
    <w:abstractNumId w:val="17"/>
  </w:num>
  <w:num w:numId="21">
    <w:abstractNumId w:val="1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2FEE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3BFB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FC1"/>
    <w:rsid w:val="000764C1"/>
    <w:rsid w:val="00083F01"/>
    <w:rsid w:val="0008438F"/>
    <w:rsid w:val="00087383"/>
    <w:rsid w:val="00090B7E"/>
    <w:rsid w:val="00090BF4"/>
    <w:rsid w:val="000910E6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427"/>
    <w:rsid w:val="000E3B3F"/>
    <w:rsid w:val="000E667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00D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52E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5DC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56E1E"/>
    <w:rsid w:val="00260081"/>
    <w:rsid w:val="002623BA"/>
    <w:rsid w:val="00262F40"/>
    <w:rsid w:val="0026369B"/>
    <w:rsid w:val="002637F5"/>
    <w:rsid w:val="002701D6"/>
    <w:rsid w:val="00271862"/>
    <w:rsid w:val="002734E6"/>
    <w:rsid w:val="00273B37"/>
    <w:rsid w:val="00273DDB"/>
    <w:rsid w:val="00274DD2"/>
    <w:rsid w:val="00275761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167D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3BDC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4505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121"/>
    <w:rsid w:val="004A4B62"/>
    <w:rsid w:val="004A4B71"/>
    <w:rsid w:val="004A4CD8"/>
    <w:rsid w:val="004A5D77"/>
    <w:rsid w:val="004B1A08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07BA"/>
    <w:rsid w:val="004E13CC"/>
    <w:rsid w:val="004E2036"/>
    <w:rsid w:val="004E2CCD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3CF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3582"/>
    <w:rsid w:val="005D5E63"/>
    <w:rsid w:val="005D5EE1"/>
    <w:rsid w:val="005D6266"/>
    <w:rsid w:val="005D63A1"/>
    <w:rsid w:val="005D7DFA"/>
    <w:rsid w:val="005E33B4"/>
    <w:rsid w:val="005E496B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4BEB"/>
    <w:rsid w:val="005F50AD"/>
    <w:rsid w:val="005F53AA"/>
    <w:rsid w:val="005F584F"/>
    <w:rsid w:val="0060224B"/>
    <w:rsid w:val="00603007"/>
    <w:rsid w:val="00603653"/>
    <w:rsid w:val="006047E5"/>
    <w:rsid w:val="00607DED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7B0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56B49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158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F91"/>
    <w:rsid w:val="007F524B"/>
    <w:rsid w:val="007F5757"/>
    <w:rsid w:val="007F6204"/>
    <w:rsid w:val="007F71C4"/>
    <w:rsid w:val="0080002E"/>
    <w:rsid w:val="00800DCE"/>
    <w:rsid w:val="0080304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32FC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0BE8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2A6B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5D1C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D7C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016"/>
    <w:rsid w:val="00A33810"/>
    <w:rsid w:val="00A349C4"/>
    <w:rsid w:val="00A34E58"/>
    <w:rsid w:val="00A36B3E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389A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1803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1570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3D4"/>
    <w:rsid w:val="00BB1A13"/>
    <w:rsid w:val="00BB20B0"/>
    <w:rsid w:val="00BB2210"/>
    <w:rsid w:val="00BB243E"/>
    <w:rsid w:val="00BB321C"/>
    <w:rsid w:val="00BB535B"/>
    <w:rsid w:val="00BB5F66"/>
    <w:rsid w:val="00BB6EBF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5B2C"/>
    <w:rsid w:val="00BC6931"/>
    <w:rsid w:val="00BD060F"/>
    <w:rsid w:val="00BD0B60"/>
    <w:rsid w:val="00BD1BB0"/>
    <w:rsid w:val="00BD244B"/>
    <w:rsid w:val="00BD359F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104"/>
    <w:rsid w:val="00BF14D7"/>
    <w:rsid w:val="00BF23FA"/>
    <w:rsid w:val="00BF2777"/>
    <w:rsid w:val="00BF517F"/>
    <w:rsid w:val="00BF5C55"/>
    <w:rsid w:val="00C043E1"/>
    <w:rsid w:val="00C05AB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47FF5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E7D6C"/>
    <w:rsid w:val="00CF192B"/>
    <w:rsid w:val="00CF2B4C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616"/>
    <w:rsid w:val="00D72773"/>
    <w:rsid w:val="00D74659"/>
    <w:rsid w:val="00D748EB"/>
    <w:rsid w:val="00D74CEF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5DF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418"/>
    <w:rsid w:val="00DD05C3"/>
    <w:rsid w:val="00DD21EF"/>
    <w:rsid w:val="00DD23AB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0AF1"/>
    <w:rsid w:val="00E0265D"/>
    <w:rsid w:val="00E0324B"/>
    <w:rsid w:val="00E03B3E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4184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4B5F"/>
    <w:rsid w:val="00E4615C"/>
    <w:rsid w:val="00E46186"/>
    <w:rsid w:val="00E46389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6BA9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B7F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0EA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64D17"/>
    <w:rsid w:val="00F70559"/>
    <w:rsid w:val="00F71162"/>
    <w:rsid w:val="00F7319B"/>
    <w:rsid w:val="00F74351"/>
    <w:rsid w:val="00F74C3C"/>
    <w:rsid w:val="00F76440"/>
    <w:rsid w:val="00F77733"/>
    <w:rsid w:val="00F83437"/>
    <w:rsid w:val="00F845C9"/>
    <w:rsid w:val="00F849C8"/>
    <w:rsid w:val="00F85591"/>
    <w:rsid w:val="00F85D03"/>
    <w:rsid w:val="00F8772B"/>
    <w:rsid w:val="00F906AB"/>
    <w:rsid w:val="00F93CE3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1016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C3B2"/>
  <w15:docId w15:val="{3F1B8E65-9295-4D25-9C75-3D9F86CB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3BFB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qFormat/>
    <w:rsid w:val="00002FEE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002FEE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oleObject" Target="embeddings/oleObject6.bin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2.bin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14BE7-C7F9-4C82-AE43-B582A331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2043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4</cp:revision>
  <cp:lastPrinted>2012-02-28T09:55:00Z</cp:lastPrinted>
  <dcterms:created xsi:type="dcterms:W3CDTF">2020-03-31T08:42:00Z</dcterms:created>
  <dcterms:modified xsi:type="dcterms:W3CDTF">2020-03-31T11:45:00Z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