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BE7F" w14:textId="1183F8C5" w:rsidR="004A4121" w:rsidRPr="00BE6E03" w:rsidRDefault="0018600D" w:rsidP="0018600D">
      <w:pPr>
        <w:pStyle w:val="berschrift3"/>
        <w:numPr>
          <w:ilvl w:val="0"/>
          <w:numId w:val="0"/>
        </w:numPr>
      </w:pPr>
      <w:bookmarkStart w:id="0" w:name="_Toc201056221"/>
      <w:r>
        <w:t>2.1.</w:t>
      </w:r>
      <w:r w:rsidR="00085C19">
        <w:t>4</w:t>
      </w:r>
      <w:r>
        <w:t xml:space="preserve">. </w:t>
      </w:r>
      <w:r w:rsidR="004A4121" w:rsidRPr="00BE6E03">
        <w:t>Energie bei mechanische</w:t>
      </w:r>
      <w:r w:rsidR="004A4121">
        <w:t>n</w:t>
      </w:r>
      <w:r w:rsidR="004A4121" w:rsidRPr="00BE6E03">
        <w:t xml:space="preserve"> Schwingungen</w:t>
      </w:r>
      <w:bookmarkEnd w:id="0"/>
    </w:p>
    <w:p w14:paraId="42E5EA4C" w14:textId="6C36A32C" w:rsidR="004A4121" w:rsidRDefault="004A4121" w:rsidP="004A4121"/>
    <w:p w14:paraId="071EC081" w14:textId="0945B826" w:rsidR="00867363" w:rsidRDefault="00FE569E" w:rsidP="004A4121">
      <w:r>
        <w:t>(1) Energiebetrachtungen beim Fadenpendel</w:t>
      </w:r>
    </w:p>
    <w:p w14:paraId="095A4F7D" w14:textId="3B553F1C" w:rsidR="004A4121" w:rsidRDefault="000A6037" w:rsidP="004A4121">
      <w:pPr>
        <w:jc w:val="center"/>
      </w:pPr>
      <w:r>
        <w:rPr>
          <w:noProof/>
        </w:rPr>
        <w:object w:dxaOrig="101" w:dyaOrig="32" w14:anchorId="73A1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1.15pt;margin-top:68.95pt;width:41.2pt;height:70.3pt;z-index:251666432">
            <v:imagedata r:id="rId8" o:title=""/>
          </v:shape>
          <o:OLEObject Type="Embed" ProgID="Equation.DSMT4" ShapeID="_x0000_s1036" DrawAspect="Content" ObjectID="_1645968092" r:id="rId9"/>
        </w:object>
      </w:r>
      <w:r w:rsidR="00241976">
        <w:object w:dxaOrig="5594" w:dyaOrig="4141" w14:anchorId="0F79A764">
          <v:shape id="_x0000_i1026" type="#_x0000_t75" style="width:174.75pt;height:127.5pt" o:ole="">
            <v:imagedata r:id="rId10" o:title=""/>
          </v:shape>
          <o:OLEObject Type="Embed" ProgID="MSPhotoEd.3" ShapeID="_x0000_i1026" DrawAspect="Content" ObjectID="_1645968080" r:id="rId11"/>
        </w:object>
      </w:r>
      <w:r w:rsidR="004A4121">
        <w:tab/>
      </w:r>
      <w:r w:rsidR="004A4121">
        <w:rPr>
          <w:noProof/>
        </w:rPr>
        <w:drawing>
          <wp:inline distT="0" distB="0" distL="0" distR="0" wp14:anchorId="491756E8" wp14:editId="1F6DE93C">
            <wp:extent cx="647219" cy="780884"/>
            <wp:effectExtent l="0" t="0" r="63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8" cy="7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14C5" w14:textId="77777777" w:rsidR="004A4121" w:rsidRDefault="004A4121" w:rsidP="004A4121">
      <w:pPr>
        <w:jc w:val="center"/>
      </w:pPr>
    </w:p>
    <w:p w14:paraId="1331C9C6" w14:textId="77777777" w:rsidR="004A4121" w:rsidRDefault="004A4121" w:rsidP="004A4121">
      <w:pPr>
        <w:jc w:val="center"/>
      </w:pPr>
    </w:p>
    <w:p w14:paraId="78165C3C" w14:textId="6DD5C50E" w:rsidR="004A4121" w:rsidRDefault="004A4121" w:rsidP="004A4121"/>
    <w:p w14:paraId="3CF59648" w14:textId="489BB472" w:rsidR="00FE569E" w:rsidRDefault="00FE569E" w:rsidP="004A4121">
      <w:r>
        <w:t>(2) Energiebetrachtungen beim Federschwinger</w:t>
      </w:r>
    </w:p>
    <w:p w14:paraId="0CDD698E" w14:textId="5DADC119" w:rsidR="004A4121" w:rsidRDefault="000A6037" w:rsidP="004A4121">
      <w:pPr>
        <w:jc w:val="center"/>
      </w:pPr>
      <w:r>
        <w:rPr>
          <w:noProof/>
        </w:rPr>
        <w:object w:dxaOrig="101" w:dyaOrig="32" w14:anchorId="6CCECEE4">
          <v:shape id="_x0000_s1040" type="#_x0000_t75" style="position:absolute;left:0;text-align:left;margin-left:69.8pt;margin-top:53pt;width:39.55pt;height:67.6pt;z-index:251667456">
            <v:imagedata r:id="rId13" o:title=""/>
          </v:shape>
          <o:OLEObject Type="Embed" ProgID="Equation.DSMT4" ShapeID="_x0000_s1040" DrawAspect="Content" ObjectID="_1645968093" r:id="rId14"/>
        </w:object>
      </w:r>
      <w:r w:rsidR="004A4121">
        <w:rPr>
          <w:noProof/>
        </w:rPr>
        <w:drawing>
          <wp:inline distT="0" distB="0" distL="0" distR="0" wp14:anchorId="56DCA714" wp14:editId="319B59C7">
            <wp:extent cx="1671840" cy="162000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8" t="4440" r="6992" b="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4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1486" w14:textId="77777777" w:rsidR="004A4121" w:rsidRDefault="004A4121" w:rsidP="004A4121"/>
    <w:p w14:paraId="3EF1BB8A" w14:textId="0AA59D74" w:rsidR="00FE569E" w:rsidRDefault="00FE569E" w:rsidP="00FE569E">
      <w:pPr>
        <w:pStyle w:val="Merksatz"/>
      </w:pPr>
      <w:r>
        <w:rPr>
          <w:rFonts w:ascii="Marlett" w:hAnsi="Marlett"/>
        </w:rPr>
        <w:t></w:t>
      </w:r>
      <w:r>
        <w:t xml:space="preserve">Bei einer harmonischen Schwingung wird ständige </w:t>
      </w:r>
      <w:proofErr w:type="gramStart"/>
      <w:r>
        <w:t>potentielle</w:t>
      </w:r>
      <w:proofErr w:type="gramEnd"/>
      <w:r>
        <w:t xml:space="preserve"> Energie in kinetische Energie und wieder in potentielle Energie umgewandelt.</w:t>
      </w:r>
      <w:r>
        <w:tab/>
      </w:r>
      <w:r>
        <w:br/>
        <w:t>Für die Umwandlung von Energie von einer Energieform in eine andere Energieform muss Arbeit verrichtet werden.</w:t>
      </w:r>
    </w:p>
    <w:p w14:paraId="674B2B66" w14:textId="77777777" w:rsidR="00363BDC" w:rsidRDefault="00363BDC" w:rsidP="005D3582"/>
    <w:p w14:paraId="49CCD646" w14:textId="5F85B3E5" w:rsidR="00363BDC" w:rsidRDefault="00D97D6C" w:rsidP="005D3582">
      <w:r>
        <w:t xml:space="preserve">Berechnung der </w:t>
      </w:r>
      <w:proofErr w:type="gramStart"/>
      <w:r>
        <w:t>potentiellen</w:t>
      </w:r>
      <w:proofErr w:type="gramEnd"/>
      <w:r>
        <w:t xml:space="preserve"> Energie</w:t>
      </w:r>
    </w:p>
    <w:p w14:paraId="2753534E" w14:textId="1B8F70A1" w:rsidR="00D97D6C" w:rsidRDefault="00D97D6C" w:rsidP="005D3582">
      <w:r>
        <w:t xml:space="preserve">Die </w:t>
      </w:r>
      <w:proofErr w:type="gramStart"/>
      <w:r>
        <w:t>potentielle</w:t>
      </w:r>
      <w:proofErr w:type="gramEnd"/>
      <w:r>
        <w:t xml:space="preserve"> Energie </w:t>
      </w:r>
      <w:r w:rsidR="00241976">
        <w:t xml:space="preserve">eines Federschwingers </w:t>
      </w:r>
      <w:r>
        <w:t xml:space="preserve">kann berechnet werden mit </w:t>
      </w:r>
      <w:r w:rsidR="00241976" w:rsidRPr="00241976">
        <w:rPr>
          <w:position w:val="-22"/>
        </w:rPr>
        <w:object w:dxaOrig="1020" w:dyaOrig="580" w14:anchorId="3EA19B29">
          <v:shape id="_x0000_i1028" type="#_x0000_t75" style="width:51pt;height:28.5pt" o:ole="">
            <v:imagedata r:id="rId16" o:title=""/>
          </v:shape>
          <o:OLEObject Type="Embed" ProgID="Equation.DSMT4" ShapeID="_x0000_i1028" DrawAspect="Content" ObjectID="_1645968081" r:id="rId17"/>
        </w:object>
      </w:r>
      <w:r>
        <w:t xml:space="preserve">. Dabei ist F die lineare Rückstellkraft </w:t>
      </w:r>
      <w:r w:rsidR="001643F4" w:rsidRPr="00D97D6C">
        <w:rPr>
          <w:position w:val="-10"/>
        </w:rPr>
        <w:object w:dxaOrig="700" w:dyaOrig="279" w14:anchorId="6CC307A8">
          <v:shape id="_x0000_i1029" type="#_x0000_t75" style="width:35.25pt;height:13.5pt" o:ole="">
            <v:imagedata r:id="rId18" o:title=""/>
          </v:shape>
          <o:OLEObject Type="Embed" ProgID="Equation.DSMT4" ShapeID="_x0000_i1029" DrawAspect="Content" ObjectID="_1645968082" r:id="rId19"/>
        </w:object>
      </w:r>
      <w:r>
        <w:t xml:space="preserve">. Damit erhält man </w:t>
      </w:r>
      <w:r w:rsidR="001643F4" w:rsidRPr="00241976">
        <w:rPr>
          <w:position w:val="-22"/>
        </w:rPr>
        <w:object w:dxaOrig="1120" w:dyaOrig="580" w14:anchorId="3A6B7764">
          <v:shape id="_x0000_i1030" type="#_x0000_t75" style="width:55.5pt;height:28.5pt" o:ole="">
            <v:imagedata r:id="rId20" o:title=""/>
          </v:shape>
          <o:OLEObject Type="Embed" ProgID="Equation.DSMT4" ShapeID="_x0000_i1030" DrawAspect="Content" ObjectID="_1645968083" r:id="rId21"/>
        </w:object>
      </w:r>
      <w:r w:rsidR="00241976">
        <w:t xml:space="preserve">. Setzt man für </w:t>
      </w:r>
      <w:r w:rsidR="00085C19" w:rsidRPr="00E06433">
        <w:rPr>
          <w:position w:val="-12"/>
        </w:rPr>
        <w:object w:dxaOrig="2000" w:dyaOrig="360" w14:anchorId="43DC6391">
          <v:shape id="_x0000_i1031" type="#_x0000_t75" style="width:99.75pt;height:18pt" o:ole="">
            <v:imagedata r:id="rId22" o:title=""/>
          </v:shape>
          <o:OLEObject Type="Embed" ProgID="Equation.DSMT4" ShapeID="_x0000_i1031" DrawAspect="Content" ObjectID="_1645968084" r:id="rId23"/>
        </w:object>
      </w:r>
      <w:r w:rsidR="00241976">
        <w:t xml:space="preserve"> (2.1.2.), so ergibt sich </w:t>
      </w:r>
      <w:r w:rsidR="00085C19" w:rsidRPr="00241976">
        <w:rPr>
          <w:position w:val="-22"/>
        </w:rPr>
        <w:object w:dxaOrig="2659" w:dyaOrig="580" w14:anchorId="2E7612E6">
          <v:shape id="_x0000_i1032" type="#_x0000_t75" style="width:132.75pt;height:28.5pt" o:ole="">
            <v:imagedata r:id="rId24" o:title=""/>
          </v:shape>
          <o:OLEObject Type="Embed" ProgID="Equation.DSMT4" ShapeID="_x0000_i1032" DrawAspect="Content" ObjectID="_1645968085" r:id="rId25"/>
        </w:object>
      </w:r>
    </w:p>
    <w:p w14:paraId="720E9FB9" w14:textId="361281A8" w:rsidR="001C75BA" w:rsidRDefault="001C75BA" w:rsidP="005D3582"/>
    <w:p w14:paraId="7F04D0D6" w14:textId="1EC42032" w:rsidR="001C75BA" w:rsidRDefault="001C75BA" w:rsidP="005D3582">
      <w:r>
        <w:t>Berechnung der kinetischen Energie</w:t>
      </w:r>
    </w:p>
    <w:p w14:paraId="6513D6F6" w14:textId="737D4AC9" w:rsidR="001C75BA" w:rsidRDefault="001C75BA" w:rsidP="008B70CD">
      <w:r>
        <w:t xml:space="preserve">Die kinetische Energie kann berechnet werden mit </w:t>
      </w:r>
      <w:r w:rsidRPr="001C75BA">
        <w:rPr>
          <w:position w:val="-22"/>
        </w:rPr>
        <w:object w:dxaOrig="1040" w:dyaOrig="580" w14:anchorId="27604E8C">
          <v:shape id="_x0000_i1033" type="#_x0000_t75" style="width:51.75pt;height:28.5pt" o:ole="">
            <v:imagedata r:id="rId26" o:title=""/>
          </v:shape>
          <o:OLEObject Type="Embed" ProgID="Equation.DSMT4" ShapeID="_x0000_i1033" DrawAspect="Content" ObjectID="_1645968086" r:id="rId27"/>
        </w:object>
      </w:r>
      <w:r>
        <w:t xml:space="preserve">. Setzt man für </w:t>
      </w:r>
      <w:r w:rsidR="00085C19" w:rsidRPr="00E06433">
        <w:rPr>
          <w:position w:val="-12"/>
        </w:rPr>
        <w:object w:dxaOrig="2299" w:dyaOrig="360" w14:anchorId="319A7B25">
          <v:shape id="_x0000_i1034" type="#_x0000_t75" style="width:114.75pt;height:18pt" o:ole="">
            <v:imagedata r:id="rId28" o:title=""/>
          </v:shape>
          <o:OLEObject Type="Embed" ProgID="Equation.DSMT4" ShapeID="_x0000_i1034" DrawAspect="Content" ObjectID="_1645968087" r:id="rId29"/>
        </w:object>
      </w:r>
      <w:r>
        <w:t xml:space="preserve"> (2.1.2.), so erhält man </w:t>
      </w:r>
      <w:r w:rsidR="00085C19" w:rsidRPr="008B70CD">
        <w:rPr>
          <w:position w:val="-22"/>
        </w:rPr>
        <w:object w:dxaOrig="3120" w:dyaOrig="580" w14:anchorId="58A91977">
          <v:shape id="_x0000_i1035" type="#_x0000_t75" style="width:156pt;height:28.5pt" o:ole="">
            <v:imagedata r:id="rId30" o:title=""/>
          </v:shape>
          <o:OLEObject Type="Embed" ProgID="Equation.DSMT4" ShapeID="_x0000_i1035" DrawAspect="Content" ObjectID="_1645968088" r:id="rId31"/>
        </w:object>
      </w:r>
      <w:r w:rsidR="008B70CD">
        <w:t xml:space="preserve">. Für harmonische Schwingungen gilt </w:t>
      </w:r>
      <w:r w:rsidR="008B70CD" w:rsidRPr="008B70CD">
        <w:rPr>
          <w:position w:val="-6"/>
        </w:rPr>
        <w:object w:dxaOrig="859" w:dyaOrig="300" w14:anchorId="7A7CDA41">
          <v:shape id="_x0000_i1036" type="#_x0000_t75" style="width:43.5pt;height:15pt" o:ole="">
            <v:imagedata r:id="rId32" o:title=""/>
          </v:shape>
          <o:OLEObject Type="Embed" ProgID="Equation.DSMT4" ShapeID="_x0000_i1036" DrawAspect="Content" ObjectID="_1645968089" r:id="rId33"/>
        </w:object>
      </w:r>
      <w:r w:rsidR="00241976">
        <w:t xml:space="preserve">. Für die kinetische Energie gilt also </w:t>
      </w:r>
      <w:r w:rsidR="00085C19" w:rsidRPr="00241976">
        <w:rPr>
          <w:position w:val="-22"/>
        </w:rPr>
        <w:object w:dxaOrig="2580" w:dyaOrig="580" w14:anchorId="330CD004">
          <v:shape id="_x0000_i1037" type="#_x0000_t75" style="width:129pt;height:28.5pt" o:ole="">
            <v:imagedata r:id="rId34" o:title=""/>
          </v:shape>
          <o:OLEObject Type="Embed" ProgID="Equation.DSMT4" ShapeID="_x0000_i1037" DrawAspect="Content" ObjectID="_1645968090" r:id="rId35"/>
        </w:object>
      </w:r>
      <w:r w:rsidR="00241976">
        <w:t>.</w:t>
      </w:r>
    </w:p>
    <w:p w14:paraId="069C4B2E" w14:textId="34FCD949" w:rsidR="00241976" w:rsidRDefault="00241976" w:rsidP="008B70CD"/>
    <w:p w14:paraId="76ADF912" w14:textId="77777777" w:rsidR="00C55294" w:rsidRDefault="00C55294" w:rsidP="00A32B34"/>
    <w:p w14:paraId="2694A55D" w14:textId="77777777" w:rsidR="00C55294" w:rsidRDefault="00C55294" w:rsidP="00A32B34"/>
    <w:p w14:paraId="0F849196" w14:textId="77777777" w:rsidR="00C55294" w:rsidRDefault="00C55294" w:rsidP="00A32B34"/>
    <w:p w14:paraId="6F39F1B3" w14:textId="77777777" w:rsidR="00C55294" w:rsidRDefault="00C55294" w:rsidP="00A32B34"/>
    <w:p w14:paraId="0F83CDCC" w14:textId="6BD1EB3A" w:rsidR="00A32B34" w:rsidRDefault="00A32B34" w:rsidP="00A32B34">
      <w:r>
        <w:lastRenderedPageBreak/>
        <w:t>Berechnung der Gesamtenergie</w:t>
      </w:r>
    </w:p>
    <w:p w14:paraId="5E120046" w14:textId="28FC0E46" w:rsidR="003277F3" w:rsidRDefault="00085C19" w:rsidP="00A32B34">
      <w:r w:rsidRPr="00241976">
        <w:rPr>
          <w:position w:val="-100"/>
        </w:rPr>
        <w:object w:dxaOrig="4800" w:dyaOrig="2100" w14:anchorId="4EB1A13F">
          <v:shape id="_x0000_i1038" type="#_x0000_t75" style="width:239.25pt;height:105pt" o:ole="">
            <v:imagedata r:id="rId36" o:title=""/>
          </v:shape>
          <o:OLEObject Type="Embed" ProgID="Equation.DSMT4" ShapeID="_x0000_i1038" DrawAspect="Content" ObjectID="_1645968091" r:id="rId37"/>
        </w:object>
      </w:r>
    </w:p>
    <w:p w14:paraId="654CE0A7" w14:textId="51B13850" w:rsidR="003E19E7" w:rsidRDefault="003E19E7" w:rsidP="00A32B34"/>
    <w:p w14:paraId="067917E1" w14:textId="1C485E4E" w:rsidR="003E19E7" w:rsidRDefault="003E19E7" w:rsidP="00A32B34">
      <w:r>
        <w:t xml:space="preserve">Zeitlicher Verlauf von </w:t>
      </w:r>
      <w:proofErr w:type="gramStart"/>
      <w:r>
        <w:t>potentieller</w:t>
      </w:r>
      <w:proofErr w:type="gramEnd"/>
      <w:r>
        <w:t xml:space="preserve"> und kinetischer Energie</w:t>
      </w:r>
    </w:p>
    <w:p w14:paraId="06AE16ED" w14:textId="3310AEB1" w:rsidR="003E19E7" w:rsidRDefault="003E19E7" w:rsidP="003E19E7">
      <w:pPr>
        <w:jc w:val="center"/>
      </w:pPr>
      <w:r>
        <w:rPr>
          <w:noProof/>
        </w:rPr>
        <w:drawing>
          <wp:inline distT="0" distB="0" distL="0" distR="0" wp14:anchorId="2C893416" wp14:editId="7F54A94B">
            <wp:extent cx="3600000" cy="1198596"/>
            <wp:effectExtent l="0" t="0" r="63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5871" w14:textId="1CFA53F2" w:rsidR="00A32B34" w:rsidRDefault="00A32B34" w:rsidP="00A32B34">
      <w:pPr>
        <w:rPr>
          <w:sz w:val="20"/>
        </w:rPr>
      </w:pPr>
      <w:bookmarkStart w:id="1" w:name="_GoBack"/>
      <w:bookmarkEnd w:id="1"/>
    </w:p>
    <w:sectPr w:rsidR="00A32B34" w:rsidSect="00C5529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5AA6" w14:textId="77777777" w:rsidR="000A6037" w:rsidRDefault="000A6037" w:rsidP="00085C19">
      <w:r>
        <w:separator/>
      </w:r>
    </w:p>
  </w:endnote>
  <w:endnote w:type="continuationSeparator" w:id="0">
    <w:p w14:paraId="430F2B47" w14:textId="77777777" w:rsidR="000A6037" w:rsidRDefault="000A6037" w:rsidP="0008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1FE1" w14:textId="77777777" w:rsidR="000A6037" w:rsidRDefault="000A6037" w:rsidP="00085C19">
      <w:r>
        <w:separator/>
      </w:r>
    </w:p>
  </w:footnote>
  <w:footnote w:type="continuationSeparator" w:id="0">
    <w:p w14:paraId="12259199" w14:textId="77777777" w:rsidR="000A6037" w:rsidRDefault="000A6037" w:rsidP="0008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5C19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037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3F4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5BA"/>
    <w:rsid w:val="001C7C4B"/>
    <w:rsid w:val="001D02EC"/>
    <w:rsid w:val="001D1D2D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1DE9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1976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2426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3D30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19E7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1C1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1D7C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423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67363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3F38"/>
    <w:rsid w:val="008B6E5C"/>
    <w:rsid w:val="008B70CD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34"/>
    <w:rsid w:val="00A32BFD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1E6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294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6C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37788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057A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69E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EC25B9F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976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DE70-BE78-481D-9F9C-6287B68A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2019-02-19T17:06:00Z</cp:lastPrinted>
  <dcterms:created xsi:type="dcterms:W3CDTF">2020-03-17T15:33:00Z</dcterms:created>
  <dcterms:modified xsi:type="dcterms:W3CDTF">2020-03-17T15:34:00Z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