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7" w:rsidRDefault="00940B96" w:rsidP="00940B96">
      <w:pPr>
        <w:pStyle w:val="berschrift3"/>
        <w:numPr>
          <w:ilvl w:val="0"/>
          <w:numId w:val="0"/>
        </w:numPr>
        <w:suppressAutoHyphens/>
        <w:rPr>
          <w:snapToGrid w:val="0"/>
        </w:rPr>
      </w:pPr>
      <w:bookmarkStart w:id="0" w:name="_Toc463526071"/>
      <w:bookmarkStart w:id="1" w:name="_Toc237331462"/>
      <w:r>
        <w:rPr>
          <w:snapToGrid w:val="0"/>
        </w:rPr>
        <w:t xml:space="preserve">4.1.4. </w:t>
      </w:r>
      <w:r w:rsidR="00A24F47">
        <w:rPr>
          <w:snapToGrid w:val="0"/>
        </w:rPr>
        <w:t xml:space="preserve">Die Funktion f(x) = a sin </w:t>
      </w:r>
      <w:proofErr w:type="spellStart"/>
      <w:r w:rsidR="00A24F47">
        <w:rPr>
          <w:snapToGrid w:val="0"/>
        </w:rPr>
        <w:t>bx</w:t>
      </w:r>
      <w:bookmarkEnd w:id="0"/>
      <w:bookmarkEnd w:id="1"/>
      <w:proofErr w:type="spellEnd"/>
    </w:p>
    <w:p w:rsidR="00A24F47" w:rsidRDefault="004E6705" w:rsidP="00A24F47">
      <w:pPr>
        <w:widowControl w:val="0"/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7" type="#_x0000_t75" style="position:absolute;margin-left:-.3pt;margin-top:6.9pt;width:261.75pt;height:263.25pt;z-index:251699200">
            <v:imagedata r:id="rId6" o:title=""/>
            <w10:wrap type="square"/>
          </v:shape>
          <o:OLEObject Type="Embed" ProgID="MSPhotoEd.3" ShapeID="_x0000_s1147" DrawAspect="Content" ObjectID="_1548567316" r:id="rId7"/>
        </w:pict>
      </w: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  <w:r>
        <w:rPr>
          <w:snapToGrid w:val="0"/>
        </w:rPr>
        <w:t>f(x) = sin x</w:t>
      </w:r>
    </w:p>
    <w:p w:rsidR="00A24F47" w:rsidRPr="00165CFE" w:rsidRDefault="00A24F47" w:rsidP="00A24F47">
      <w:pPr>
        <w:widowControl w:val="0"/>
        <w:rPr>
          <w:snapToGrid w:val="0"/>
          <w:color w:val="FF0000"/>
        </w:rPr>
      </w:pPr>
      <w:r w:rsidRPr="00165CFE">
        <w:rPr>
          <w:snapToGrid w:val="0"/>
          <w:color w:val="FF0000"/>
        </w:rPr>
        <w:t>g(x) = 0,5 sin x</w:t>
      </w:r>
    </w:p>
    <w:p w:rsidR="00A24F47" w:rsidRPr="00165CFE" w:rsidRDefault="00A24F47" w:rsidP="00A24F47">
      <w:pPr>
        <w:widowControl w:val="0"/>
        <w:rPr>
          <w:snapToGrid w:val="0"/>
          <w:color w:val="00FF00"/>
        </w:rPr>
      </w:pPr>
      <w:r w:rsidRPr="00165CFE">
        <w:rPr>
          <w:snapToGrid w:val="0"/>
          <w:color w:val="00FF00"/>
        </w:rPr>
        <w:t>h(x) = 2 sin x</w:t>
      </w: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940B96" w:rsidRDefault="00940B96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jc w:val="center"/>
        <w:rPr>
          <w:snapToGrid w:val="0"/>
        </w:rPr>
      </w:pPr>
    </w:p>
    <w:p w:rsidR="00A24F47" w:rsidRDefault="00A24F47" w:rsidP="00940B96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Der Parameter a </w:t>
      </w:r>
      <w:r w:rsidR="00FC77DC">
        <w:rPr>
          <w:snapToGrid w:val="0"/>
        </w:rPr>
        <w:t xml:space="preserve">streckt oder staucht die Sinusfunktion in y-Richtung. Er </w:t>
      </w:r>
      <w:r>
        <w:rPr>
          <w:snapToGrid w:val="0"/>
        </w:rPr>
        <w:t>beeinflusst den Werteb</w:t>
      </w:r>
      <w:r>
        <w:rPr>
          <w:snapToGrid w:val="0"/>
        </w:rPr>
        <w:t>e</w:t>
      </w:r>
      <w:r>
        <w:rPr>
          <w:snapToGrid w:val="0"/>
        </w:rPr>
        <w:t>reich der Sinusfunktion</w:t>
      </w:r>
      <w:r w:rsidR="00FC77DC">
        <w:rPr>
          <w:snapToGrid w:val="0"/>
        </w:rPr>
        <w:t xml:space="preserve"> (–a </w:t>
      </w:r>
      <w:r w:rsidR="00FC77DC">
        <w:rPr>
          <w:snapToGrid w:val="0"/>
        </w:rPr>
        <w:sym w:font="Math B" w:char="F05B"/>
      </w:r>
      <w:r w:rsidR="00FC77DC">
        <w:rPr>
          <w:snapToGrid w:val="0"/>
        </w:rPr>
        <w:t xml:space="preserve"> y </w:t>
      </w:r>
      <w:r w:rsidR="00FC77DC">
        <w:rPr>
          <w:snapToGrid w:val="0"/>
        </w:rPr>
        <w:sym w:font="Math B" w:char="F05B"/>
      </w:r>
      <w:r w:rsidR="00FC77DC">
        <w:rPr>
          <w:snapToGrid w:val="0"/>
        </w:rPr>
        <w:t xml:space="preserve"> a)</w:t>
      </w:r>
      <w:r>
        <w:rPr>
          <w:snapToGrid w:val="0"/>
        </w:rPr>
        <w:t>. Die Periode bleibt u</w:t>
      </w:r>
      <w:r>
        <w:rPr>
          <w:snapToGrid w:val="0"/>
        </w:rPr>
        <w:t>n</w:t>
      </w:r>
      <w:r>
        <w:rPr>
          <w:snapToGrid w:val="0"/>
        </w:rPr>
        <w:t>verändert.</w:t>
      </w:r>
    </w:p>
    <w:p w:rsidR="00A24F47" w:rsidRDefault="00A24F47" w:rsidP="00940B96">
      <w:pPr>
        <w:widowControl w:val="0"/>
        <w:jc w:val="both"/>
        <w:rPr>
          <w:snapToGrid w:val="0"/>
        </w:rPr>
      </w:pPr>
      <w:r>
        <w:rPr>
          <w:snapToGrid w:val="0"/>
        </w:rPr>
        <w:t>Physik: Der Parameter a beeinflusst die Amplitude der Schwingung.</w:t>
      </w:r>
    </w:p>
    <w:p w:rsidR="00A24F47" w:rsidRDefault="00A24F47" w:rsidP="00A24F47">
      <w:pPr>
        <w:widowControl w:val="0"/>
        <w:rPr>
          <w:snapToGrid w:val="0"/>
        </w:rPr>
      </w:pPr>
    </w:p>
    <w:p w:rsidR="00A24F47" w:rsidRDefault="004E6705" w:rsidP="00A24F47">
      <w:pPr>
        <w:widowControl w:val="0"/>
        <w:rPr>
          <w:snapToGrid w:val="0"/>
        </w:rPr>
      </w:pPr>
      <w:r>
        <w:rPr>
          <w:noProof/>
        </w:rPr>
        <w:pict>
          <v:shape id="_x0000_s1148" type="#_x0000_t75" style="position:absolute;margin-left:.45pt;margin-top:1.45pt;width:261.75pt;height:158.25pt;z-index:251700224">
            <v:imagedata r:id="rId8" o:title=""/>
            <o:lock v:ext="edit" aspectratio="f"/>
            <w10:wrap type="square"/>
          </v:shape>
          <o:OLEObject Type="Embed" ProgID="MSPhotoEd.3" ShapeID="_x0000_s1148" DrawAspect="Content" ObjectID="_1548567317" r:id="rId9"/>
        </w:pict>
      </w:r>
    </w:p>
    <w:p w:rsidR="00A24F47" w:rsidRDefault="00A24F47" w:rsidP="00A24F47">
      <w:pPr>
        <w:widowControl w:val="0"/>
        <w:rPr>
          <w:snapToGrid w:val="0"/>
        </w:rPr>
      </w:pPr>
      <w:r>
        <w:rPr>
          <w:snapToGrid w:val="0"/>
        </w:rPr>
        <w:t>f(x) = sin x</w:t>
      </w:r>
    </w:p>
    <w:p w:rsidR="00A24F47" w:rsidRPr="00165CFE" w:rsidRDefault="00A24F47" w:rsidP="00A24F47">
      <w:pPr>
        <w:widowControl w:val="0"/>
        <w:rPr>
          <w:snapToGrid w:val="0"/>
          <w:color w:val="FF0000"/>
        </w:rPr>
      </w:pPr>
      <w:r w:rsidRPr="00165CFE">
        <w:rPr>
          <w:snapToGrid w:val="0"/>
          <w:color w:val="FF0000"/>
        </w:rPr>
        <w:t>f(x) = sin 0,5x</w:t>
      </w:r>
    </w:p>
    <w:p w:rsidR="00A24F47" w:rsidRPr="00165CFE" w:rsidRDefault="00A24F47" w:rsidP="00A24F47">
      <w:pPr>
        <w:widowControl w:val="0"/>
        <w:rPr>
          <w:snapToGrid w:val="0"/>
          <w:color w:val="00FF00"/>
        </w:rPr>
      </w:pPr>
      <w:r w:rsidRPr="00165CFE">
        <w:rPr>
          <w:snapToGrid w:val="0"/>
          <w:color w:val="00FF00"/>
        </w:rPr>
        <w:t>f(x) = sin 2x</w:t>
      </w: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rPr>
          <w:snapToGrid w:val="0"/>
        </w:rPr>
      </w:pPr>
    </w:p>
    <w:p w:rsidR="00A24F47" w:rsidRDefault="00A24F47" w:rsidP="00A24F47">
      <w:pPr>
        <w:widowControl w:val="0"/>
        <w:jc w:val="center"/>
        <w:rPr>
          <w:snapToGrid w:val="0"/>
        </w:rPr>
      </w:pPr>
    </w:p>
    <w:p w:rsidR="00A24F47" w:rsidRDefault="00A24F47" w:rsidP="00940B96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Der Parameter b </w:t>
      </w:r>
      <w:r w:rsidR="00FC77DC">
        <w:rPr>
          <w:snapToGrid w:val="0"/>
        </w:rPr>
        <w:t xml:space="preserve">streckt oder staucht die Funktion in x-Richtung. Er </w:t>
      </w:r>
      <w:r>
        <w:rPr>
          <w:snapToGrid w:val="0"/>
        </w:rPr>
        <w:t>beeinflusst die kleinste Periode der Funktion. Der Wertebereich bleibt unverändert.</w:t>
      </w:r>
    </w:p>
    <w:p w:rsidR="00A24F47" w:rsidRDefault="00A24F47" w:rsidP="00940B96">
      <w:pPr>
        <w:widowControl w:val="0"/>
        <w:jc w:val="both"/>
        <w:rPr>
          <w:snapToGrid w:val="0"/>
        </w:rPr>
      </w:pPr>
      <w:r>
        <w:rPr>
          <w:snapToGrid w:val="0"/>
        </w:rPr>
        <w:t>Physik: Der Parameter beeinflusst die Frequenz der Schwingung.</w:t>
      </w:r>
    </w:p>
    <w:p w:rsidR="006A3318" w:rsidRDefault="006A3318" w:rsidP="00085DF2">
      <w:pPr>
        <w:pStyle w:val="Kopfzeile"/>
        <w:widowControl w:val="0"/>
        <w:tabs>
          <w:tab w:val="clear" w:pos="4536"/>
          <w:tab w:val="clear" w:pos="9072"/>
        </w:tabs>
        <w:rPr>
          <w:snapToGrid w:val="0"/>
        </w:rPr>
      </w:pPr>
    </w:p>
    <w:tbl>
      <w:tblPr>
        <w:tblStyle w:val="Tabellengitternetz"/>
        <w:tblW w:w="7196" w:type="dxa"/>
        <w:tblLook w:val="04A0"/>
      </w:tblPr>
      <w:tblGrid>
        <w:gridCol w:w="1244"/>
        <w:gridCol w:w="1439"/>
        <w:gridCol w:w="1439"/>
        <w:gridCol w:w="1439"/>
        <w:gridCol w:w="1635"/>
      </w:tblGrid>
      <w:tr w:rsidR="00940B96" w:rsidTr="0022150F">
        <w:tc>
          <w:tcPr>
            <w:tcW w:w="1244" w:type="dxa"/>
            <w:vAlign w:val="center"/>
          </w:tcPr>
          <w:p w:rsidR="00940B96" w:rsidRDefault="00940B96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rPr>
                <w:snapToGrid w:val="0"/>
              </w:rPr>
            </w:pPr>
            <w:r>
              <w:rPr>
                <w:snapToGrid w:val="0"/>
              </w:rPr>
              <w:br w:type="column"/>
              <w:t>Eigenschaft</w:t>
            </w:r>
          </w:p>
        </w:tc>
        <w:tc>
          <w:tcPr>
            <w:tcW w:w="1439" w:type="dxa"/>
            <w:vAlign w:val="center"/>
          </w:tcPr>
          <w:p w:rsidR="00940B96" w:rsidRDefault="00940B96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f(x) = a sin </w:t>
            </w:r>
            <w:proofErr w:type="spellStart"/>
            <w:r>
              <w:rPr>
                <w:snapToGrid w:val="0"/>
              </w:rPr>
              <w:t>bx</w:t>
            </w:r>
            <w:proofErr w:type="spellEnd"/>
          </w:p>
        </w:tc>
        <w:tc>
          <w:tcPr>
            <w:tcW w:w="1439" w:type="dxa"/>
            <w:vAlign w:val="center"/>
          </w:tcPr>
          <w:p w:rsidR="00940B96" w:rsidRDefault="00940B96" w:rsidP="00542537">
            <w:pPr>
              <w:widowControl w:val="0"/>
              <w:tabs>
                <w:tab w:val="left" w:pos="1701"/>
                <w:tab w:val="left" w:pos="3544"/>
                <w:tab w:val="left" w:pos="5387"/>
                <w:tab w:val="left" w:pos="723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f(x) =2 sin x</w:t>
            </w:r>
          </w:p>
          <w:p w:rsidR="00940B96" w:rsidRDefault="00940B96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a=2; b=1</w:t>
            </w:r>
          </w:p>
        </w:tc>
        <w:tc>
          <w:tcPr>
            <w:tcW w:w="1439" w:type="dxa"/>
            <w:vAlign w:val="center"/>
          </w:tcPr>
          <w:p w:rsidR="00940B96" w:rsidRDefault="00940B96" w:rsidP="00542537">
            <w:pPr>
              <w:widowControl w:val="0"/>
              <w:tabs>
                <w:tab w:val="left" w:pos="1701"/>
                <w:tab w:val="left" w:pos="3544"/>
                <w:tab w:val="left" w:pos="5387"/>
                <w:tab w:val="left" w:pos="723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f(x) = sin 0,5x</w:t>
            </w:r>
          </w:p>
          <w:p w:rsidR="00940B96" w:rsidRDefault="00940B96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a=1; b=0,5</w:t>
            </w:r>
          </w:p>
        </w:tc>
        <w:tc>
          <w:tcPr>
            <w:tcW w:w="1635" w:type="dxa"/>
            <w:vAlign w:val="center"/>
          </w:tcPr>
          <w:p w:rsidR="00940B96" w:rsidRDefault="00940B96" w:rsidP="00542537">
            <w:pPr>
              <w:widowControl w:val="0"/>
              <w:tabs>
                <w:tab w:val="left" w:pos="1701"/>
                <w:tab w:val="left" w:pos="3544"/>
                <w:tab w:val="left" w:pos="5387"/>
                <w:tab w:val="left" w:pos="7230"/>
              </w:tabs>
              <w:jc w:val="center"/>
            </w:pPr>
            <w:r>
              <w:rPr>
                <w:snapToGrid w:val="0"/>
              </w:rPr>
              <w:t>f(x) = 0,5 sin 2x</w:t>
            </w:r>
          </w:p>
          <w:p w:rsidR="00940B96" w:rsidRDefault="00940B96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a=0,5; b=2</w:t>
            </w:r>
          </w:p>
        </w:tc>
      </w:tr>
      <w:tr w:rsidR="00940B96" w:rsidTr="0022150F">
        <w:tc>
          <w:tcPr>
            <w:tcW w:w="1244" w:type="dxa"/>
            <w:vAlign w:val="center"/>
          </w:tcPr>
          <w:p w:rsidR="00940B96" w:rsidRDefault="00940B96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rPr>
                <w:snapToGrid w:val="0"/>
              </w:rPr>
            </w:pPr>
            <w:r>
              <w:rPr>
                <w:snapToGrid w:val="0"/>
              </w:rPr>
              <w:t>DB</w:t>
            </w:r>
          </w:p>
        </w:tc>
        <w:tc>
          <w:tcPr>
            <w:tcW w:w="1439" w:type="dxa"/>
            <w:vAlign w:val="center"/>
          </w:tcPr>
          <w:p w:rsidR="00940B96" w:rsidRDefault="00940B96" w:rsidP="0007496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x </w:t>
            </w:r>
            <w:r w:rsidR="0022150F">
              <w:rPr>
                <w:rFonts w:ascii="Calibri" w:hAnsi="Calibri"/>
                <w:snapToGrid w:val="0"/>
              </w:rPr>
              <w:t>ϵ</w:t>
            </w:r>
            <w:r>
              <w:rPr>
                <w:snapToGrid w:val="0"/>
              </w:rPr>
              <w:t xml:space="preserve"> </w:t>
            </w:r>
            <w:r w:rsidR="00074967">
              <w:rPr>
                <w:rFonts w:ascii="Mengenzeichen" w:hAnsi="Mengenzeichen"/>
                <w:snapToGrid w:val="0"/>
              </w:rPr>
              <w:sym w:font="Euclid Extra" w:char="F0A1"/>
            </w:r>
          </w:p>
        </w:tc>
        <w:tc>
          <w:tcPr>
            <w:tcW w:w="1439" w:type="dxa"/>
            <w:vAlign w:val="center"/>
          </w:tcPr>
          <w:p w:rsidR="00940B96" w:rsidRDefault="0022150F" w:rsidP="0007496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x </w:t>
            </w:r>
            <w:r>
              <w:rPr>
                <w:rFonts w:ascii="Calibri" w:hAnsi="Calibri"/>
                <w:snapToGrid w:val="0"/>
              </w:rPr>
              <w:t>ϵ</w:t>
            </w:r>
            <w:r>
              <w:rPr>
                <w:snapToGrid w:val="0"/>
              </w:rPr>
              <w:t xml:space="preserve"> </w:t>
            </w:r>
            <w:r w:rsidR="00074967">
              <w:rPr>
                <w:rFonts w:ascii="Mengenzeichen" w:hAnsi="Mengenzeichen"/>
                <w:snapToGrid w:val="0"/>
              </w:rPr>
              <w:sym w:font="Euclid Extra" w:char="F0A1"/>
            </w:r>
          </w:p>
        </w:tc>
        <w:tc>
          <w:tcPr>
            <w:tcW w:w="1439" w:type="dxa"/>
            <w:vAlign w:val="center"/>
          </w:tcPr>
          <w:p w:rsidR="00940B96" w:rsidRDefault="0022150F" w:rsidP="0007496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x </w:t>
            </w:r>
            <w:r>
              <w:rPr>
                <w:rFonts w:ascii="Calibri" w:hAnsi="Calibri"/>
                <w:snapToGrid w:val="0"/>
              </w:rPr>
              <w:t>ϵ</w:t>
            </w:r>
            <w:r>
              <w:rPr>
                <w:snapToGrid w:val="0"/>
              </w:rPr>
              <w:t xml:space="preserve"> </w:t>
            </w:r>
            <w:r w:rsidR="00074967">
              <w:rPr>
                <w:rFonts w:ascii="Mengenzeichen" w:hAnsi="Mengenzeichen"/>
                <w:snapToGrid w:val="0"/>
              </w:rPr>
              <w:sym w:font="Euclid Extra" w:char="F0A1"/>
            </w:r>
          </w:p>
        </w:tc>
        <w:tc>
          <w:tcPr>
            <w:tcW w:w="1635" w:type="dxa"/>
            <w:vAlign w:val="center"/>
          </w:tcPr>
          <w:p w:rsidR="00940B96" w:rsidRDefault="0022150F" w:rsidP="0007496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x </w:t>
            </w:r>
            <w:r>
              <w:rPr>
                <w:rFonts w:ascii="Calibri" w:hAnsi="Calibri"/>
                <w:snapToGrid w:val="0"/>
              </w:rPr>
              <w:t>ϵ</w:t>
            </w:r>
            <w:r>
              <w:rPr>
                <w:snapToGrid w:val="0"/>
              </w:rPr>
              <w:t xml:space="preserve"> </w:t>
            </w:r>
            <w:r w:rsidR="00074967">
              <w:rPr>
                <w:rFonts w:ascii="Mengenzeichen" w:hAnsi="Mengenzeichen"/>
                <w:snapToGrid w:val="0"/>
              </w:rPr>
              <w:sym w:font="Euclid Extra" w:char="F0A1"/>
            </w:r>
          </w:p>
        </w:tc>
      </w:tr>
      <w:tr w:rsidR="00940B96" w:rsidTr="0022150F">
        <w:tc>
          <w:tcPr>
            <w:tcW w:w="1244" w:type="dxa"/>
            <w:vAlign w:val="center"/>
          </w:tcPr>
          <w:p w:rsidR="00940B96" w:rsidRDefault="00940B96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rPr>
                <w:snapToGrid w:val="0"/>
              </w:rPr>
            </w:pPr>
            <w:r>
              <w:rPr>
                <w:snapToGrid w:val="0"/>
              </w:rPr>
              <w:t>WB</w:t>
            </w:r>
          </w:p>
        </w:tc>
        <w:tc>
          <w:tcPr>
            <w:tcW w:w="1439" w:type="dxa"/>
            <w:vAlign w:val="center"/>
          </w:tcPr>
          <w:p w:rsidR="00940B96" w:rsidRDefault="00940B96" w:rsidP="0007496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–a </w:t>
            </w:r>
            <w:r w:rsidR="00074967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x </w:t>
            </w:r>
            <w:r w:rsidR="00074967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a</w:t>
            </w:r>
          </w:p>
        </w:tc>
        <w:tc>
          <w:tcPr>
            <w:tcW w:w="1439" w:type="dxa"/>
            <w:vAlign w:val="center"/>
          </w:tcPr>
          <w:p w:rsidR="00940B96" w:rsidRDefault="00940B96" w:rsidP="0007496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–2 </w:t>
            </w:r>
            <w:r w:rsidR="00074967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x </w:t>
            </w:r>
            <w:r w:rsidR="00074967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2</w:t>
            </w:r>
          </w:p>
        </w:tc>
        <w:tc>
          <w:tcPr>
            <w:tcW w:w="1439" w:type="dxa"/>
            <w:vAlign w:val="center"/>
          </w:tcPr>
          <w:p w:rsidR="00940B96" w:rsidRDefault="00940B96" w:rsidP="0007496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–1 </w:t>
            </w:r>
            <w:r w:rsidR="00074967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x </w:t>
            </w:r>
            <w:r w:rsidR="00074967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1</w:t>
            </w:r>
          </w:p>
        </w:tc>
        <w:tc>
          <w:tcPr>
            <w:tcW w:w="1635" w:type="dxa"/>
            <w:vAlign w:val="center"/>
          </w:tcPr>
          <w:p w:rsidR="00940B96" w:rsidRDefault="00940B96" w:rsidP="0007496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–0,5 </w:t>
            </w:r>
            <w:r w:rsidR="00074967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x </w:t>
            </w:r>
            <w:r w:rsidR="00074967">
              <w:rPr>
                <w:rFonts w:ascii="Times New Roman" w:hAnsi="Times New Roman"/>
                <w:snapToGrid w:val="0"/>
              </w:rPr>
              <w:t>≤</w:t>
            </w:r>
            <w:r>
              <w:rPr>
                <w:snapToGrid w:val="0"/>
              </w:rPr>
              <w:t xml:space="preserve"> 0,5</w:t>
            </w:r>
          </w:p>
        </w:tc>
      </w:tr>
      <w:tr w:rsidR="00940B96" w:rsidTr="0022150F">
        <w:tc>
          <w:tcPr>
            <w:tcW w:w="1244" w:type="dxa"/>
            <w:vAlign w:val="center"/>
          </w:tcPr>
          <w:p w:rsidR="00940B96" w:rsidRDefault="00940B96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rPr>
                <w:snapToGrid w:val="0"/>
              </w:rPr>
            </w:pPr>
            <w:r>
              <w:rPr>
                <w:snapToGrid w:val="0"/>
              </w:rPr>
              <w:t>kleinste Periode</w:t>
            </w:r>
          </w:p>
        </w:tc>
        <w:tc>
          <w:tcPr>
            <w:tcW w:w="1439" w:type="dxa"/>
            <w:vAlign w:val="center"/>
          </w:tcPr>
          <w:p w:rsidR="00940B96" w:rsidRDefault="00FC77DC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 w:rsidRPr="00C1572B">
              <w:rPr>
                <w:snapToGrid w:val="0"/>
                <w:position w:val="-22"/>
              </w:rPr>
              <w:object w:dxaOrig="340" w:dyaOrig="580">
                <v:shape id="_x0000_i1025" type="#_x0000_t75" style="width:17.25pt;height:29.25pt" o:ole="" fillcolor="window">
                  <v:imagedata r:id="rId10" o:title=""/>
                </v:shape>
                <o:OLEObject Type="Embed" ProgID="Equation.DSMT4" ShapeID="_x0000_i1025" DrawAspect="Content" ObjectID="_1548567313" r:id="rId11"/>
              </w:object>
            </w:r>
          </w:p>
        </w:tc>
        <w:tc>
          <w:tcPr>
            <w:tcW w:w="1439" w:type="dxa"/>
            <w:vAlign w:val="center"/>
          </w:tcPr>
          <w:p w:rsidR="00940B96" w:rsidRDefault="00940B96" w:rsidP="00C1572B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C1572B">
              <w:rPr>
                <w:snapToGrid w:val="0"/>
              </w:rPr>
              <w:t xml:space="preserve"> π</w:t>
            </w:r>
          </w:p>
        </w:tc>
        <w:tc>
          <w:tcPr>
            <w:tcW w:w="1439" w:type="dxa"/>
            <w:vAlign w:val="center"/>
          </w:tcPr>
          <w:p w:rsidR="00940B96" w:rsidRDefault="00940B96" w:rsidP="00FC77DC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C1572B">
              <w:rPr>
                <w:snapToGrid w:val="0"/>
              </w:rPr>
              <w:t xml:space="preserve"> </w:t>
            </w:r>
            <w:r w:rsidR="00FC77DC">
              <w:rPr>
                <w:rFonts w:ascii="Calibri" w:hAnsi="Calibri"/>
                <w:snapToGrid w:val="0"/>
              </w:rPr>
              <w:t>π</w:t>
            </w:r>
          </w:p>
        </w:tc>
        <w:tc>
          <w:tcPr>
            <w:tcW w:w="1635" w:type="dxa"/>
            <w:vAlign w:val="center"/>
          </w:tcPr>
          <w:p w:rsidR="00940B96" w:rsidRDefault="00C1572B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rFonts w:ascii="Calibri" w:hAnsi="Calibri"/>
                <w:snapToGrid w:val="0"/>
              </w:rPr>
              <w:t>π</w:t>
            </w:r>
          </w:p>
        </w:tc>
      </w:tr>
      <w:tr w:rsidR="00940B96" w:rsidTr="0022150F">
        <w:tc>
          <w:tcPr>
            <w:tcW w:w="1244" w:type="dxa"/>
            <w:vAlign w:val="center"/>
          </w:tcPr>
          <w:p w:rsidR="00940B96" w:rsidRDefault="00940B96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rPr>
                <w:snapToGrid w:val="0"/>
              </w:rPr>
            </w:pPr>
            <w:r>
              <w:rPr>
                <w:snapToGrid w:val="0"/>
              </w:rPr>
              <w:t>Nullstellen</w:t>
            </w:r>
          </w:p>
        </w:tc>
        <w:tc>
          <w:tcPr>
            <w:tcW w:w="1439" w:type="dxa"/>
            <w:vAlign w:val="center"/>
          </w:tcPr>
          <w:p w:rsidR="00940B96" w:rsidRDefault="00C1572B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 w:rsidRPr="00C1572B">
              <w:rPr>
                <w:snapToGrid w:val="0"/>
                <w:position w:val="-22"/>
              </w:rPr>
              <w:object w:dxaOrig="320" w:dyaOrig="580">
                <v:shape id="_x0000_i1026" type="#_x0000_t75" style="width:15.75pt;height:29.25pt" o:ole="" fillcolor="window">
                  <v:imagedata r:id="rId12" o:title=""/>
                </v:shape>
                <o:OLEObject Type="Embed" ProgID="Equation.DSMT4" ShapeID="_x0000_i1026" DrawAspect="Content" ObjectID="_1548567314" r:id="rId13"/>
              </w:object>
            </w:r>
          </w:p>
        </w:tc>
        <w:tc>
          <w:tcPr>
            <w:tcW w:w="1439" w:type="dxa"/>
            <w:vAlign w:val="center"/>
          </w:tcPr>
          <w:p w:rsidR="00940B96" w:rsidRDefault="00940B96" w:rsidP="00C1572B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k</w:t>
            </w:r>
            <w:r w:rsidR="00C1572B">
              <w:rPr>
                <w:snapToGrid w:val="0"/>
              </w:rPr>
              <w:t xml:space="preserve"> </w:t>
            </w:r>
            <w:r w:rsidR="00C1572B">
              <w:rPr>
                <w:rFonts w:ascii="Calibri" w:hAnsi="Calibri"/>
                <w:snapToGrid w:val="0"/>
              </w:rPr>
              <w:t>π</w:t>
            </w:r>
          </w:p>
        </w:tc>
        <w:tc>
          <w:tcPr>
            <w:tcW w:w="1439" w:type="dxa"/>
            <w:vAlign w:val="center"/>
          </w:tcPr>
          <w:p w:rsidR="00940B96" w:rsidRDefault="00940B96" w:rsidP="00C1572B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2k</w:t>
            </w:r>
            <w:r w:rsidR="00C1572B">
              <w:rPr>
                <w:rFonts w:ascii="Calibri" w:hAnsi="Calibri"/>
                <w:snapToGrid w:val="0"/>
              </w:rPr>
              <w:t>π</w:t>
            </w:r>
          </w:p>
        </w:tc>
        <w:tc>
          <w:tcPr>
            <w:tcW w:w="1635" w:type="dxa"/>
            <w:vAlign w:val="center"/>
          </w:tcPr>
          <w:p w:rsidR="00940B96" w:rsidRDefault="00C1572B" w:rsidP="00542537">
            <w:pPr>
              <w:widowControl w:val="0"/>
              <w:tabs>
                <w:tab w:val="left" w:pos="1701"/>
                <w:tab w:val="left" w:pos="3685"/>
                <w:tab w:val="left" w:pos="5670"/>
                <w:tab w:val="left" w:pos="7654"/>
              </w:tabs>
              <w:jc w:val="center"/>
              <w:rPr>
                <w:snapToGrid w:val="0"/>
              </w:rPr>
            </w:pPr>
            <w:r w:rsidRPr="00C1572B">
              <w:rPr>
                <w:snapToGrid w:val="0"/>
                <w:position w:val="-22"/>
              </w:rPr>
              <w:object w:dxaOrig="320" w:dyaOrig="580">
                <v:shape id="_x0000_i1027" type="#_x0000_t75" style="width:15.75pt;height:29.25pt" o:ole="" fillcolor="window">
                  <v:imagedata r:id="rId14" o:title=""/>
                </v:shape>
                <o:OLEObject Type="Embed" ProgID="Equation.DSMT4" ShapeID="_x0000_i1027" DrawAspect="Content" ObjectID="_1548567315" r:id="rId15"/>
              </w:object>
            </w:r>
          </w:p>
        </w:tc>
      </w:tr>
    </w:tbl>
    <w:p w:rsidR="006A3318" w:rsidRDefault="006A3318" w:rsidP="00085DF2">
      <w:pPr>
        <w:pStyle w:val="Kopfzeile"/>
        <w:widowControl w:val="0"/>
        <w:tabs>
          <w:tab w:val="clear" w:pos="4536"/>
          <w:tab w:val="clear" w:pos="9072"/>
        </w:tabs>
        <w:rPr>
          <w:snapToGrid w:val="0"/>
          <w:sz w:val="20"/>
        </w:rPr>
      </w:pPr>
    </w:p>
    <w:sectPr w:rsidR="006A3318" w:rsidSect="0007496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altName w:val="Symbol"/>
    <w:charset w:val="02"/>
    <w:family w:val="auto"/>
    <w:pitch w:val="variable"/>
    <w:sig w:usb0="0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B574F"/>
    <w:multiLevelType w:val="hybridMultilevel"/>
    <w:tmpl w:val="669CC776"/>
    <w:lvl w:ilvl="0" w:tplc="FFFFFFFF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4"/>
  </w:num>
  <w:num w:numId="16">
    <w:abstractNumId w:val="17"/>
  </w:num>
  <w:num w:numId="17">
    <w:abstractNumId w:val="32"/>
  </w:num>
  <w:num w:numId="18">
    <w:abstractNumId w:val="14"/>
  </w:num>
  <w:num w:numId="19">
    <w:abstractNumId w:val="31"/>
  </w:num>
  <w:num w:numId="20">
    <w:abstractNumId w:val="26"/>
  </w:num>
  <w:num w:numId="21">
    <w:abstractNumId w:val="21"/>
  </w:num>
  <w:num w:numId="22">
    <w:abstractNumId w:val="11"/>
  </w:num>
  <w:num w:numId="23">
    <w:abstractNumId w:val="33"/>
  </w:num>
  <w:num w:numId="24">
    <w:abstractNumId w:val="22"/>
  </w:num>
  <w:num w:numId="25">
    <w:abstractNumId w:val="30"/>
  </w:num>
  <w:num w:numId="26">
    <w:abstractNumId w:val="23"/>
  </w:num>
  <w:num w:numId="27">
    <w:abstractNumId w:val="13"/>
  </w:num>
  <w:num w:numId="28">
    <w:abstractNumId w:val="12"/>
  </w:num>
  <w:num w:numId="29">
    <w:abstractNumId w:val="19"/>
  </w:num>
  <w:num w:numId="30">
    <w:abstractNumId w:val="25"/>
  </w:num>
  <w:num w:numId="31">
    <w:abstractNumId w:val="15"/>
  </w:num>
  <w:num w:numId="32">
    <w:abstractNumId w:val="10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4967"/>
    <w:rsid w:val="000764C1"/>
    <w:rsid w:val="00083F01"/>
    <w:rsid w:val="0008438F"/>
    <w:rsid w:val="00085DF2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21D4"/>
    <w:rsid w:val="000B36E2"/>
    <w:rsid w:val="000B38F7"/>
    <w:rsid w:val="000B7A88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94C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FB7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F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3E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6705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558D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212D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C5C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73E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83B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2E2E"/>
    <w:rsid w:val="006944C2"/>
    <w:rsid w:val="006949D0"/>
    <w:rsid w:val="00694F96"/>
    <w:rsid w:val="00696606"/>
    <w:rsid w:val="006977FC"/>
    <w:rsid w:val="006A1A64"/>
    <w:rsid w:val="006A2F83"/>
    <w:rsid w:val="006A3318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7B2C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49C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EA3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0B96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660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774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F47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39C2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B9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452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493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2B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71E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2B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0641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6E1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7C7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18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C77DC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305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DE66E1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E66E1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085DF2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A212-5901-45DC-B4A9-76A7C6AA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2017-02-14T07:42:00Z</dcterms:created>
  <dcterms:modified xsi:type="dcterms:W3CDTF">2017-02-14T07:42:00Z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