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F" w:rsidRPr="005D5CAF" w:rsidRDefault="00EC69B3" w:rsidP="004F2BB4">
      <w:pPr>
        <w:rPr>
          <w:b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4. Trigonometrische Funktionen und trigonometrische Berechnungen</w:t>
      </w:r>
    </w:p>
    <w:p w:rsidR="005D5CAF" w:rsidRDefault="005D5CAF" w:rsidP="004F2BB4">
      <w:pPr>
        <w:rPr>
          <w:szCs w:val="22"/>
        </w:rPr>
      </w:pPr>
    </w:p>
    <w:p w:rsidR="005D5CAF" w:rsidRPr="005D5CAF" w:rsidRDefault="00EC69B3" w:rsidP="004F2BB4">
      <w:pPr>
        <w:rPr>
          <w:b/>
          <w:color w:val="00B050"/>
          <w:szCs w:val="22"/>
          <w:u w:val="single"/>
        </w:rPr>
      </w:pPr>
      <w:r>
        <w:rPr>
          <w:b/>
          <w:color w:val="00B050"/>
          <w:szCs w:val="22"/>
          <w:u w:val="single"/>
        </w:rPr>
        <w:t>4.1. Trigonometrische Funktionen</w:t>
      </w:r>
    </w:p>
    <w:p w:rsidR="005D5CAF" w:rsidRDefault="005D5CAF" w:rsidP="004F2BB4">
      <w:pPr>
        <w:rPr>
          <w:szCs w:val="22"/>
        </w:rPr>
      </w:pPr>
    </w:p>
    <w:p w:rsidR="005D5CAF" w:rsidRPr="005D5CAF" w:rsidRDefault="00EC69B3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4.1.1. Erweiterung des Winkelbegriffs</w:t>
      </w:r>
    </w:p>
    <w:p w:rsidR="005D5CAF" w:rsidRDefault="005D5CAF" w:rsidP="004F2BB4">
      <w:pPr>
        <w:rPr>
          <w:szCs w:val="22"/>
        </w:rPr>
      </w:pPr>
    </w:p>
    <w:p w:rsidR="00EC69B3" w:rsidRDefault="00EC69B3" w:rsidP="00EC69B3">
      <w:pPr>
        <w:widowControl w:val="0"/>
        <w:jc w:val="both"/>
        <w:rPr>
          <w:snapToGrid w:val="0"/>
        </w:rPr>
      </w:pPr>
      <w:r>
        <w:rPr>
          <w:snapToGrid w:val="0"/>
        </w:rPr>
        <w:t>Wir kennen aus der Physik die Schwingung als periodische Bewegung eines Körpers um seine Gleic</w:t>
      </w:r>
      <w:r>
        <w:rPr>
          <w:snapToGrid w:val="0"/>
        </w:rPr>
        <w:t>h</w:t>
      </w:r>
      <w:r>
        <w:rPr>
          <w:snapToGrid w:val="0"/>
        </w:rPr>
        <w:t>gewichtslage. Die Bewegung einer Gondel des Riesenrades kann als eine solche Schwingung aufg</w:t>
      </w:r>
      <w:r>
        <w:rPr>
          <w:snapToGrid w:val="0"/>
        </w:rPr>
        <w:t>e</w:t>
      </w:r>
      <w:r>
        <w:rPr>
          <w:snapToGrid w:val="0"/>
        </w:rPr>
        <w:t>fasst werden.</w:t>
      </w:r>
    </w:p>
    <w:p w:rsidR="00EC69B3" w:rsidRDefault="00E86D2C" w:rsidP="00EC69B3">
      <w:pPr>
        <w:widowControl w:val="0"/>
        <w:jc w:val="both"/>
        <w:rPr>
          <w:snapToGrid w:val="0"/>
        </w:rPr>
      </w:pPr>
      <w:r>
        <w:rPr>
          <w:noProof/>
        </w:rPr>
        <w:pict>
          <v:group id="_x0000_s1073" style="position:absolute;left:0;text-align:left;margin-left:238.2pt;margin-top:12.3pt;width:210pt;height:191.25pt;z-index:251699200" coordorigin="3210,2190" coordsize="4200,3825">
            <v:group id="_x0000_s1074" style="position:absolute;left:3210;top:2445;width:3870;height:3570" coordorigin="1680,1515" coordsize="3870,3570">
              <v:oval id="_x0000_s1075" style="position:absolute;left:2175;top:1950;width:2760;height:2760"/>
              <v:line id="_x0000_s1076" style="position:absolute" from="1680,3330" to="5550,3330">
                <v:stroke endarrow="block"/>
              </v:line>
              <v:line id="_x0000_s1077" style="position:absolute;flip:y" from="3555,1515" to="3555,5085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5025;top:2565;width:480;height:465" filled="f" stroked="f">
              <v:textbox style="mso-next-textbox:#_x0000_s1078">
                <w:txbxContent>
                  <w:p w:rsidR="00EC69B3" w:rsidRDefault="00EC69B3" w:rsidP="00EC69B3">
                    <w:r>
                      <w:t>1</w:t>
                    </w:r>
                  </w:p>
                </w:txbxContent>
              </v:textbox>
            </v:shape>
            <v:shape id="_x0000_s1079" type="#_x0000_t202" style="position:absolute;left:6315;top:4230;width:480;height:465" filled="f" stroked="f">
              <v:textbox style="mso-next-textbox:#_x0000_s1079">
                <w:txbxContent>
                  <w:p w:rsidR="00EC69B3" w:rsidRDefault="00EC69B3" w:rsidP="00EC69B3">
                    <w:r>
                      <w:t>1</w:t>
                    </w:r>
                  </w:p>
                </w:txbxContent>
              </v:textbox>
            </v:shape>
            <v:shape id="_x0000_s1080" type="#_x0000_t202" style="position:absolute;left:6930;top:4185;width:480;height:465" filled="f" stroked="f">
              <v:textbox style="mso-next-textbox:#_x0000_s1080">
                <w:txbxContent>
                  <w:p w:rsidR="00EC69B3" w:rsidRDefault="00EC69B3" w:rsidP="00EC69B3">
                    <w:r>
                      <w:t>u</w:t>
                    </w:r>
                  </w:p>
                </w:txbxContent>
              </v:textbox>
            </v:shape>
            <v:shape id="_x0000_s1081" type="#_x0000_t202" style="position:absolute;left:5010;top:2190;width:480;height:465" filled="f" stroked="f">
              <v:textbox style="mso-next-textbox:#_x0000_s1081">
                <w:txbxContent>
                  <w:p w:rsidR="00EC69B3" w:rsidRDefault="00EC69B3" w:rsidP="00EC69B3">
                    <w:r>
                      <w:t>v</w:t>
                    </w:r>
                  </w:p>
                </w:txbxContent>
              </v:textbox>
            </v:shape>
            <v:shape id="_x0000_s1082" type="#_x0000_t202" style="position:absolute;left:4695;top:4170;width:480;height:465" filled="f" stroked="f">
              <v:textbox style="mso-next-textbox:#_x0000_s1082">
                <w:txbxContent>
                  <w:p w:rsidR="00EC69B3" w:rsidRDefault="00EC69B3" w:rsidP="00EC69B3">
                    <w:r>
                      <w:t>M</w:t>
                    </w:r>
                  </w:p>
                </w:txbxContent>
              </v:textbox>
            </v:shape>
            <v:shape id="_x0000_s1083" type="#_x0000_t202" style="position:absolute;left:5903;top:3585;width:480;height:465" filled="f" stroked="f">
              <v:textbox style="mso-next-textbox:#_x0000_s1083">
                <w:txbxContent>
                  <w:p w:rsidR="00EC69B3" w:rsidRPr="004662CE" w:rsidRDefault="00EC69B3" w:rsidP="00EC69B3">
                    <w:pPr>
                      <w:rPr>
                        <w:color w:val="FF0000"/>
                      </w:rPr>
                    </w:pPr>
                    <w:r w:rsidRPr="004662CE">
                      <w:rPr>
                        <w:color w:val="FF0000"/>
                      </w:rPr>
                      <w:t>v</w:t>
                    </w:r>
                  </w:p>
                </w:txbxContent>
              </v:textbox>
            </v:shape>
            <v:shape id="_x0000_s1084" type="#_x0000_t202" style="position:absolute;left:5880;top:2880;width:990;height:465" filled="f" stroked="f">
              <v:textbox style="mso-next-textbox:#_x0000_s1084">
                <w:txbxContent>
                  <w:p w:rsidR="00EC69B3" w:rsidRDefault="00EC69B3" w:rsidP="00EC69B3">
                    <w:r>
                      <w:t>P (</w:t>
                    </w:r>
                    <w:proofErr w:type="spellStart"/>
                    <w:r>
                      <w:t>u;v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85" type="#_x0000_t202" style="position:absolute;left:5295;top:4185;width:480;height:465" filled="f" stroked="f">
              <v:textbox style="mso-next-textbox:#_x0000_s1085">
                <w:txbxContent>
                  <w:p w:rsidR="00EC69B3" w:rsidRPr="004662CE" w:rsidRDefault="00EC69B3" w:rsidP="00EC69B3">
                    <w:pPr>
                      <w:rPr>
                        <w:color w:val="3366FF"/>
                      </w:rPr>
                    </w:pPr>
                    <w:r w:rsidRPr="004662CE">
                      <w:rPr>
                        <w:color w:val="3366FF"/>
                      </w:rPr>
                      <w:t>u</w:t>
                    </w:r>
                  </w:p>
                </w:txbxContent>
              </v:textbox>
            </v:shape>
            <v:line id="_x0000_s1086" style="position:absolute;flip:y" from="5085,3218" to="5993,4253" strokeweight=".5pt"/>
            <v:line id="_x0000_s1087" style="position:absolute" from="5993,3225" to="5993,4253" strokecolor="red"/>
            <v:line id="_x0000_s1088" style="position:absolute" from="5085,4257" to="5993,4257" strokecolor="blue"/>
            <w10:wrap type="square"/>
          </v:group>
        </w:pict>
      </w:r>
    </w:p>
    <w:p w:rsidR="00EC69B3" w:rsidRDefault="00EC69B3" w:rsidP="00EC69B3">
      <w:pPr>
        <w:widowControl w:val="0"/>
        <w:tabs>
          <w:tab w:val="left" w:pos="170"/>
          <w:tab w:val="left" w:pos="425"/>
          <w:tab w:val="left" w:pos="4536"/>
        </w:tabs>
        <w:jc w:val="both"/>
        <w:rPr>
          <w:snapToGrid w:val="0"/>
        </w:rPr>
      </w:pPr>
      <w:r>
        <w:rPr>
          <w:snapToGrid w:val="0"/>
        </w:rPr>
        <w:t>Für mathematische Betrachtungen legt man ve</w:t>
      </w:r>
      <w:r>
        <w:rPr>
          <w:snapToGrid w:val="0"/>
        </w:rPr>
        <w:t>r</w:t>
      </w:r>
      <w:r>
        <w:rPr>
          <w:snapToGrid w:val="0"/>
        </w:rPr>
        <w:t>einfacht fest:</w:t>
      </w:r>
    </w:p>
    <w:p w:rsidR="00EC69B3" w:rsidRDefault="00EC69B3" w:rsidP="00EC69B3">
      <w:pPr>
        <w:widowControl w:val="0"/>
        <w:numPr>
          <w:ilvl w:val="0"/>
          <w:numId w:val="30"/>
        </w:numPr>
        <w:tabs>
          <w:tab w:val="left" w:pos="425"/>
          <w:tab w:val="left" w:pos="2977"/>
          <w:tab w:val="left" w:pos="4536"/>
          <w:tab w:val="left" w:pos="4820"/>
          <w:tab w:val="left" w:pos="5245"/>
        </w:tabs>
        <w:jc w:val="both"/>
        <w:rPr>
          <w:snapToGrid w:val="0"/>
        </w:rPr>
      </w:pPr>
      <w:r>
        <w:t>Der Radius des Kreises beträgt</w:t>
      </w:r>
      <w:r w:rsidRPr="003E1E2F">
        <w:t xml:space="preserve"> </w:t>
      </w:r>
      <w:r>
        <w:t>eine Längenei</w:t>
      </w:r>
      <w:r>
        <w:t>n</w:t>
      </w:r>
      <w:r>
        <w:t>heit (Einheitskreis).</w:t>
      </w:r>
    </w:p>
    <w:p w:rsidR="00EC69B3" w:rsidRDefault="00EC69B3" w:rsidP="00EC69B3">
      <w:pPr>
        <w:widowControl w:val="0"/>
        <w:numPr>
          <w:ilvl w:val="0"/>
          <w:numId w:val="30"/>
        </w:numPr>
        <w:tabs>
          <w:tab w:val="left" w:pos="425"/>
          <w:tab w:val="left" w:pos="2977"/>
          <w:tab w:val="left" w:pos="4536"/>
          <w:tab w:val="left" w:pos="4820"/>
          <w:tab w:val="left" w:pos="5245"/>
        </w:tabs>
        <w:jc w:val="both"/>
        <w:rPr>
          <w:snapToGrid w:val="0"/>
        </w:rPr>
      </w:pPr>
      <w:r>
        <w:rPr>
          <w:snapToGrid w:val="0"/>
        </w:rPr>
        <w:t>Der Mittelpunkt des Kreises ist Ursprung eines Koordin</w:t>
      </w:r>
      <w:r>
        <w:rPr>
          <w:snapToGrid w:val="0"/>
        </w:rPr>
        <w:t>a</w:t>
      </w:r>
      <w:r>
        <w:rPr>
          <w:snapToGrid w:val="0"/>
        </w:rPr>
        <w:t>tensystems.</w:t>
      </w:r>
    </w:p>
    <w:p w:rsidR="00EC69B3" w:rsidRDefault="00EC69B3" w:rsidP="00EC69B3">
      <w:pPr>
        <w:widowControl w:val="0"/>
        <w:numPr>
          <w:ilvl w:val="0"/>
          <w:numId w:val="30"/>
        </w:numPr>
        <w:tabs>
          <w:tab w:val="left" w:pos="425"/>
          <w:tab w:val="left" w:pos="2977"/>
          <w:tab w:val="left" w:pos="4536"/>
          <w:tab w:val="left" w:pos="4820"/>
          <w:tab w:val="left" w:pos="5245"/>
        </w:tabs>
        <w:jc w:val="both"/>
        <w:rPr>
          <w:snapToGrid w:val="0"/>
        </w:rPr>
      </w:pPr>
      <w:r>
        <w:rPr>
          <w:snapToGrid w:val="0"/>
        </w:rPr>
        <w:t xml:space="preserve">Der Strahl </w:t>
      </w:r>
      <w:r w:rsidRPr="000C6FD3">
        <w:rPr>
          <w:snapToGrid w:val="0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 fillcolor="window">
            <v:imagedata r:id="rId6" o:title=""/>
          </v:shape>
          <o:OLEObject Type="Embed" ProgID="Equation.DSMT4" ShapeID="_x0000_i1025" DrawAspect="Content" ObjectID="_1548567551" r:id="rId7"/>
        </w:object>
      </w:r>
      <w:r>
        <w:rPr>
          <w:snapToGrid w:val="0"/>
        </w:rPr>
        <w:t xml:space="preserve"> wird um M gedreht. Bei Linksdr</w:t>
      </w:r>
      <w:r>
        <w:rPr>
          <w:snapToGrid w:val="0"/>
        </w:rPr>
        <w:t>e</w:t>
      </w:r>
      <w:r>
        <w:rPr>
          <w:snapToGrid w:val="0"/>
        </w:rPr>
        <w:t>hung spricht man von einem positiv orie</w:t>
      </w:r>
      <w:r>
        <w:rPr>
          <w:snapToGrid w:val="0"/>
        </w:rPr>
        <w:t>n</w:t>
      </w:r>
      <w:r>
        <w:rPr>
          <w:snapToGrid w:val="0"/>
        </w:rPr>
        <w:t xml:space="preserve">tierten Winkel, bei Rechtsdrehung von einem negativ orientierten Winkel. </w:t>
      </w:r>
    </w:p>
    <w:p w:rsidR="00EC69B3" w:rsidRDefault="00EC69B3" w:rsidP="00EC69B3">
      <w:pPr>
        <w:widowControl w:val="0"/>
        <w:ind w:left="9"/>
        <w:jc w:val="both"/>
        <w:rPr>
          <w:snapToGrid w:val="0"/>
        </w:rPr>
      </w:pPr>
    </w:p>
    <w:p w:rsidR="00EC69B3" w:rsidRDefault="00EC69B3" w:rsidP="00EC69B3">
      <w:pPr>
        <w:widowControl w:val="0"/>
        <w:ind w:left="9"/>
        <w:jc w:val="both"/>
        <w:rPr>
          <w:snapToGrid w:val="0"/>
        </w:rPr>
      </w:pPr>
      <w:r>
        <w:rPr>
          <w:snapToGrid w:val="0"/>
        </w:rPr>
        <w:t xml:space="preserve">Der Strahl </w:t>
      </w:r>
      <w:r w:rsidRPr="000C6FD3">
        <w:rPr>
          <w:snapToGrid w:val="0"/>
          <w:position w:val="-4"/>
        </w:rPr>
        <w:object w:dxaOrig="380" w:dyaOrig="300">
          <v:shape id="_x0000_i1026" type="#_x0000_t75" style="width:18.75pt;height:15pt" o:ole="" fillcolor="window">
            <v:imagedata r:id="rId6" o:title=""/>
          </v:shape>
          <o:OLEObject Type="Embed" ProgID="Equation.DSMT4" ShapeID="_x0000_i1026" DrawAspect="Content" ObjectID="_1548567552" r:id="rId8"/>
        </w:object>
      </w:r>
      <w:r>
        <w:rPr>
          <w:snapToGrid w:val="0"/>
        </w:rPr>
        <w:t xml:space="preserve"> kann sich also z.B. durch Linksdr</w:t>
      </w:r>
      <w:r>
        <w:rPr>
          <w:snapToGrid w:val="0"/>
        </w:rPr>
        <w:t>e</w:t>
      </w:r>
      <w:r>
        <w:rPr>
          <w:snapToGrid w:val="0"/>
        </w:rPr>
        <w:t>hung um 45° oder durch Rechtsdrehung um 315° ergeben. Man sagt dann:</w:t>
      </w:r>
    </w:p>
    <w:p w:rsidR="00EC69B3" w:rsidRDefault="00EC69B3" w:rsidP="00EC69B3">
      <w:pPr>
        <w:widowControl w:val="0"/>
        <w:ind w:left="9"/>
        <w:jc w:val="both"/>
        <w:rPr>
          <w:snapToGrid w:val="0"/>
        </w:rPr>
      </w:pPr>
      <w:r>
        <w:rPr>
          <w:snapToGrid w:val="0"/>
        </w:rPr>
        <w:t>Der Drehwinkel beträgt 45°. oder</w:t>
      </w:r>
    </w:p>
    <w:p w:rsidR="00EC69B3" w:rsidRDefault="00EC69B3" w:rsidP="00EC69B3">
      <w:pPr>
        <w:widowControl w:val="0"/>
        <w:ind w:left="9"/>
        <w:jc w:val="both"/>
        <w:rPr>
          <w:snapToGrid w:val="0"/>
        </w:rPr>
      </w:pPr>
      <w:r>
        <w:rPr>
          <w:snapToGrid w:val="0"/>
        </w:rPr>
        <w:t>Der Drehwinkel beträgt –315°.</w:t>
      </w:r>
    </w:p>
    <w:p w:rsidR="00EC69B3" w:rsidRDefault="00EC69B3" w:rsidP="00EC69B3">
      <w:pPr>
        <w:widowControl w:val="0"/>
        <w:jc w:val="both"/>
        <w:rPr>
          <w:snapToGrid w:val="0"/>
        </w:rPr>
      </w:pPr>
    </w:p>
    <w:p w:rsidR="00EC69B3" w:rsidRDefault="00EC69B3" w:rsidP="00EC69B3">
      <w:pPr>
        <w:widowControl w:val="0"/>
        <w:jc w:val="both"/>
        <w:rPr>
          <w:snapToGrid w:val="0"/>
        </w:rPr>
      </w:pPr>
      <w:r>
        <w:rPr>
          <w:snapToGrid w:val="0"/>
        </w:rPr>
        <w:t>Strahlen können auch mehrfach um den Koordinatenursprung gedreht we</w:t>
      </w:r>
      <w:r>
        <w:rPr>
          <w:snapToGrid w:val="0"/>
        </w:rPr>
        <w:t>r</w:t>
      </w:r>
      <w:r>
        <w:rPr>
          <w:snapToGrid w:val="0"/>
        </w:rPr>
        <w:t>den. Bei einer Drehung um 45° erhält man das gleiche Ergebnis wie bei einer Drehung um 405°; 765°; –315°; –675° usw.</w:t>
      </w:r>
    </w:p>
    <w:p w:rsidR="00EC69B3" w:rsidRDefault="00EC69B3" w:rsidP="00EC69B3"/>
    <w:p w:rsidR="00827A21" w:rsidRPr="00EC69B3" w:rsidRDefault="00827A21" w:rsidP="004F2BB4">
      <w:pPr>
        <w:rPr>
          <w:szCs w:val="22"/>
        </w:rPr>
      </w:pPr>
    </w:p>
    <w:p w:rsidR="006405BF" w:rsidRDefault="006405BF" w:rsidP="004F2BB4"/>
    <w:sectPr w:rsidR="006405BF" w:rsidSect="00E86D2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A6A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5F64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D2C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850F-52C8-480D-9B06-4FB623E2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2017-02-14T07:46:00Z</dcterms:created>
  <dcterms:modified xsi:type="dcterms:W3CDTF">2017-02-14T07:46:00Z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