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C4" w:rsidRDefault="009C1AC4" w:rsidP="009C1AC4">
      <w:pPr>
        <w:pStyle w:val="berschrift3"/>
        <w:numPr>
          <w:ilvl w:val="0"/>
          <w:numId w:val="0"/>
        </w:numPr>
      </w:pPr>
      <w:bookmarkStart w:id="0" w:name="_Toc287381247"/>
      <w:r>
        <w:t>2.3.2. Die Lösungsformel für die Normalform der quadratischen Gleichung</w:t>
      </w:r>
      <w:bookmarkEnd w:id="0"/>
    </w:p>
    <w:p w:rsidR="009C1AC4" w:rsidRDefault="009C1AC4" w:rsidP="009C1AC4">
      <w:pPr>
        <w:rPr>
          <w:b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4324"/>
      </w:tblGrid>
      <w:tr w:rsidR="009C1AC4" w:rsidRPr="00F53F50" w:rsidTr="007C72C8">
        <w:tc>
          <w:tcPr>
            <w:tcW w:w="4323" w:type="dxa"/>
          </w:tcPr>
          <w:p w:rsidR="009C1AC4" w:rsidRPr="00371594" w:rsidRDefault="009C1AC4" w:rsidP="00A10F98">
            <w:r>
              <w:t>allgemein</w:t>
            </w:r>
          </w:p>
        </w:tc>
        <w:tc>
          <w:tcPr>
            <w:tcW w:w="4324" w:type="dxa"/>
          </w:tcPr>
          <w:p w:rsidR="009C1AC4" w:rsidRPr="00371594" w:rsidRDefault="009C1AC4" w:rsidP="00A10F98">
            <w:r>
              <w:t>am Beispiel</w: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Pr="00371594" w:rsidRDefault="009C1AC4" w:rsidP="00A10F98">
            <w:r w:rsidRPr="00AC2288">
              <w:rPr>
                <w:position w:val="-30"/>
              </w:rPr>
              <w:object w:dxaOrig="20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5.25pt" o:ole="">
                  <v:imagedata r:id="rId6" o:title=""/>
                </v:shape>
                <o:OLEObject Type="Embed" ProgID="Equation.DSMT4" ShapeID="_x0000_i1025" DrawAspect="Content" ObjectID="_1548568845" r:id="rId7"/>
              </w:object>
            </w:r>
          </w:p>
        </w:tc>
        <w:tc>
          <w:tcPr>
            <w:tcW w:w="4324" w:type="dxa"/>
          </w:tcPr>
          <w:p w:rsidR="009C1AC4" w:rsidRPr="00371594" w:rsidRDefault="009C1AC4" w:rsidP="00A10F98">
            <w:r w:rsidRPr="00AC2288">
              <w:rPr>
                <w:position w:val="-28"/>
              </w:rPr>
              <w:object w:dxaOrig="1980" w:dyaOrig="660">
                <v:shape id="_x0000_i1026" type="#_x0000_t75" style="width:99pt;height:33pt" o:ole="">
                  <v:imagedata r:id="rId8" o:title=""/>
                </v:shape>
                <o:OLEObject Type="Embed" ProgID="Equation.DSMT4" ShapeID="_x0000_i1026" DrawAspect="Content" ObjectID="_1548568846" r:id="rId9"/>
              </w:object>
            </w:r>
          </w:p>
        </w:tc>
      </w:tr>
      <w:tr w:rsidR="009C1AC4" w:rsidRPr="00F53F50" w:rsidTr="007C72C8">
        <w:tc>
          <w:tcPr>
            <w:tcW w:w="8647" w:type="dxa"/>
            <w:gridSpan w:val="2"/>
          </w:tcPr>
          <w:p w:rsidR="009C1AC4" w:rsidRDefault="009C1AC4" w:rsidP="009C1AC4">
            <w:pPr>
              <w:jc w:val="both"/>
            </w:pPr>
            <w:r>
              <w:t>Wir bilden die quadratische Ergänzung und addieren diese auf beiden Seiten der Gleichung.</w: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Default="009C1AC4" w:rsidP="00A10F98">
            <w:r w:rsidRPr="00AC2288">
              <w:rPr>
                <w:position w:val="-26"/>
              </w:rPr>
              <w:object w:dxaOrig="2439" w:dyaOrig="680">
                <v:shape id="_x0000_i1027" type="#_x0000_t75" style="width:122.25pt;height:33.75pt" o:ole="">
                  <v:imagedata r:id="rId10" o:title=""/>
                </v:shape>
                <o:OLEObject Type="Embed" ProgID="Equation.DSMT4" ShapeID="_x0000_i1027" DrawAspect="Content" ObjectID="_1548568847" r:id="rId11"/>
              </w:object>
            </w:r>
          </w:p>
        </w:tc>
        <w:tc>
          <w:tcPr>
            <w:tcW w:w="4324" w:type="dxa"/>
          </w:tcPr>
          <w:p w:rsidR="009C1AC4" w:rsidRDefault="009C1AC4" w:rsidP="00A10F98">
            <w:r w:rsidRPr="00AC2288">
              <w:rPr>
                <w:position w:val="-26"/>
              </w:rPr>
              <w:object w:dxaOrig="2420" w:dyaOrig="680">
                <v:shape id="_x0000_i1028" type="#_x0000_t75" style="width:120.75pt;height:33.75pt" o:ole="">
                  <v:imagedata r:id="rId12" o:title=""/>
                </v:shape>
                <o:OLEObject Type="Embed" ProgID="Equation.DSMT4" ShapeID="_x0000_i1028" DrawAspect="Content" ObjectID="_1548568848" r:id="rId13"/>
              </w:object>
            </w:r>
          </w:p>
        </w:tc>
      </w:tr>
      <w:tr w:rsidR="009C1AC4" w:rsidRPr="00F53F50" w:rsidTr="007C72C8">
        <w:tc>
          <w:tcPr>
            <w:tcW w:w="8647" w:type="dxa"/>
            <w:gridSpan w:val="2"/>
          </w:tcPr>
          <w:p w:rsidR="009C1AC4" w:rsidRDefault="009C1AC4" w:rsidP="009C1AC4">
            <w:pPr>
              <w:jc w:val="both"/>
            </w:pPr>
            <w:r>
              <w:t>Nun lässt sich die linke Seite entsprechend der binomischen Formeln als vollständiges Qua</w:t>
            </w:r>
            <w:r>
              <w:t>d</w:t>
            </w:r>
            <w:r>
              <w:t>rat schreiben.</w: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Default="009C1AC4" w:rsidP="00A10F98">
            <w:r w:rsidRPr="00AC2288">
              <w:rPr>
                <w:position w:val="-26"/>
              </w:rPr>
              <w:object w:dxaOrig="1800" w:dyaOrig="680">
                <v:shape id="_x0000_i1029" type="#_x0000_t75" style="width:90pt;height:33.75pt" o:ole="">
                  <v:imagedata r:id="rId14" o:title=""/>
                </v:shape>
                <o:OLEObject Type="Embed" ProgID="Equation.DSMT4" ShapeID="_x0000_i1029" DrawAspect="Content" ObjectID="_1548568849" r:id="rId15"/>
              </w:object>
            </w:r>
          </w:p>
        </w:tc>
        <w:tc>
          <w:tcPr>
            <w:tcW w:w="4324" w:type="dxa"/>
          </w:tcPr>
          <w:p w:rsidR="009C1AC4" w:rsidRDefault="009C1AC4" w:rsidP="00A10F98">
            <w:r w:rsidRPr="00AC2288">
              <w:rPr>
                <w:position w:val="-26"/>
              </w:rPr>
              <w:object w:dxaOrig="1760" w:dyaOrig="680">
                <v:shape id="_x0000_i1030" type="#_x0000_t75" style="width:87.75pt;height:33.75pt" o:ole="">
                  <v:imagedata r:id="rId16" o:title=""/>
                </v:shape>
                <o:OLEObject Type="Embed" ProgID="Equation.DSMT4" ShapeID="_x0000_i1030" DrawAspect="Content" ObjectID="_1548568850" r:id="rId17"/>
              </w:object>
            </w:r>
          </w:p>
        </w:tc>
      </w:tr>
      <w:tr w:rsidR="009C1AC4" w:rsidRPr="00F53F50" w:rsidTr="007C72C8">
        <w:tc>
          <w:tcPr>
            <w:tcW w:w="8647" w:type="dxa"/>
            <w:gridSpan w:val="2"/>
          </w:tcPr>
          <w:p w:rsidR="009C1AC4" w:rsidRDefault="009C1AC4" w:rsidP="009C1AC4">
            <w:pPr>
              <w:jc w:val="both"/>
            </w:pPr>
            <w:r>
              <w:t xml:space="preserve">Es kann auf beiden Seiten die Wurzel gezogen werden, wenn die rechte Seite größer als null ist. Dabei gilt </w:t>
            </w:r>
            <w:r w:rsidRPr="00037E23">
              <w:rPr>
                <w:position w:val="-12"/>
              </w:rPr>
              <w:object w:dxaOrig="820" w:dyaOrig="420">
                <v:shape id="_x0000_i1031" type="#_x0000_t75" style="width:41.25pt;height:21pt" o:ole="">
                  <v:imagedata r:id="rId18" o:title=""/>
                </v:shape>
                <o:OLEObject Type="Embed" ProgID="Equation.DSMT4" ShapeID="_x0000_i1031" DrawAspect="Content" ObjectID="_1548568851" r:id="rId19"/>
              </w:objec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Default="009C1AC4" w:rsidP="00A10F98">
            <w:r>
              <w:t xml:space="preserve">Wenn </w:t>
            </w:r>
            <w:r w:rsidRPr="00AC2288">
              <w:rPr>
                <w:position w:val="-26"/>
              </w:rPr>
              <w:object w:dxaOrig="1140" w:dyaOrig="680">
                <v:shape id="_x0000_i1032" type="#_x0000_t75" style="width:57pt;height:33.75pt" o:ole="">
                  <v:imagedata r:id="rId20" o:title=""/>
                </v:shape>
                <o:OLEObject Type="Embed" ProgID="Equation.DSMT4" ShapeID="_x0000_i1032" DrawAspect="Content" ObjectID="_1548568852" r:id="rId21"/>
              </w:object>
            </w:r>
            <w:r>
              <w:t>, so gilt</w:t>
            </w:r>
            <w:r w:rsidRPr="00AC2288">
              <w:rPr>
                <w:position w:val="-28"/>
              </w:rPr>
              <w:object w:dxaOrig="1740" w:dyaOrig="740">
                <v:shape id="_x0000_i1033" type="#_x0000_t75" style="width:87pt;height:36.75pt" o:ole="">
                  <v:imagedata r:id="rId22" o:title=""/>
                </v:shape>
                <o:OLEObject Type="Embed" ProgID="Equation.DSMT4" ShapeID="_x0000_i1033" DrawAspect="Content" ObjectID="_1548568853" r:id="rId23"/>
              </w:object>
            </w:r>
          </w:p>
        </w:tc>
        <w:tc>
          <w:tcPr>
            <w:tcW w:w="4324" w:type="dxa"/>
          </w:tcPr>
          <w:p w:rsidR="009C1AC4" w:rsidRDefault="009C1AC4" w:rsidP="00A10F98">
            <w:r>
              <w:t xml:space="preserve">Wegen </w:t>
            </w:r>
            <w:r w:rsidRPr="00AC2288">
              <w:rPr>
                <w:position w:val="-26"/>
              </w:rPr>
              <w:object w:dxaOrig="1140" w:dyaOrig="680">
                <v:shape id="_x0000_i1034" type="#_x0000_t75" style="width:57pt;height:33.75pt" o:ole="">
                  <v:imagedata r:id="rId24" o:title=""/>
                </v:shape>
                <o:OLEObject Type="Embed" ProgID="Equation.DSMT4" ShapeID="_x0000_i1034" DrawAspect="Content" ObjectID="_1548568854" r:id="rId25"/>
              </w:object>
            </w:r>
            <w:r>
              <w:t xml:space="preserve"> gilt</w:t>
            </w:r>
            <w:r w:rsidRPr="00AC2288">
              <w:rPr>
                <w:position w:val="-28"/>
              </w:rPr>
              <w:object w:dxaOrig="1700" w:dyaOrig="740">
                <v:shape id="_x0000_i1035" type="#_x0000_t75" style="width:84.75pt;height:36.75pt" o:ole="">
                  <v:imagedata r:id="rId26" o:title=""/>
                </v:shape>
                <o:OLEObject Type="Embed" ProgID="Equation.DSMT4" ShapeID="_x0000_i1035" DrawAspect="Content" ObjectID="_1548568855" r:id="rId27"/>
              </w:object>
            </w:r>
          </w:p>
        </w:tc>
      </w:tr>
      <w:tr w:rsidR="009C1AC4" w:rsidRPr="00F53F50" w:rsidTr="007C72C8">
        <w:tc>
          <w:tcPr>
            <w:tcW w:w="8647" w:type="dxa"/>
            <w:gridSpan w:val="2"/>
          </w:tcPr>
          <w:p w:rsidR="009C1AC4" w:rsidRDefault="009C1AC4" w:rsidP="009C1AC4">
            <w:pPr>
              <w:jc w:val="both"/>
            </w:pPr>
            <w:r>
              <w:t>Bei Gleichungen mit Beträgen müssen Fallunterscheidungen durchg</w:t>
            </w:r>
            <w:r>
              <w:t>e</w:t>
            </w:r>
            <w:r>
              <w:t>führt werden.</w:t>
            </w:r>
          </w:p>
          <w:p w:rsidR="009C1AC4" w:rsidRDefault="009C1AC4" w:rsidP="009C1AC4">
            <w:pPr>
              <w:jc w:val="both"/>
            </w:pPr>
            <w:r>
              <w:t>(Bei | a | = 4 ist a</w:t>
            </w:r>
            <w:r w:rsidRPr="00F53F50">
              <w:rPr>
                <w:vertAlign w:val="subscript"/>
              </w:rPr>
              <w:t>1</w:t>
            </w:r>
            <w:r>
              <w:t xml:space="preserve"> = 4 und a</w:t>
            </w:r>
            <w:r w:rsidRPr="00F53F50">
              <w:rPr>
                <w:vertAlign w:val="subscript"/>
              </w:rPr>
              <w:t>2</w:t>
            </w:r>
            <w:r>
              <w:t xml:space="preserve"> = –4)</w: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Default="009C1AC4" w:rsidP="00A10F98">
            <w:pPr>
              <w:tabs>
                <w:tab w:val="left" w:pos="2835"/>
                <w:tab w:val="left" w:pos="4536"/>
                <w:tab w:val="left" w:pos="7371"/>
              </w:tabs>
            </w:pPr>
            <w:r w:rsidRPr="00AC2288">
              <w:rPr>
                <w:position w:val="-28"/>
              </w:rPr>
              <w:object w:dxaOrig="1860" w:dyaOrig="740">
                <v:shape id="_x0000_i1036" type="#_x0000_t75" style="width:93pt;height:36.75pt" o:ole="">
                  <v:imagedata r:id="rId28" o:title=""/>
                </v:shape>
                <o:OLEObject Type="Embed" ProgID="Equation.DSMT4" ShapeID="_x0000_i1036" DrawAspect="Content" ObjectID="_1548568856" r:id="rId29"/>
              </w:object>
            </w:r>
            <w:r>
              <w:tab/>
              <w:t xml:space="preserve">| </w:t>
            </w:r>
            <w:r w:rsidRPr="00AC2288">
              <w:rPr>
                <w:position w:val="-22"/>
              </w:rPr>
              <w:object w:dxaOrig="380" w:dyaOrig="580">
                <v:shape id="_x0000_i1037" type="#_x0000_t75" style="width:18.75pt;height:29.25pt" o:ole="">
                  <v:imagedata r:id="rId30" o:title=""/>
                </v:shape>
                <o:OLEObject Type="Embed" ProgID="Equation.DSMT4" ShapeID="_x0000_i1037" DrawAspect="Content" ObjectID="_1548568857" r:id="rId31"/>
              </w:object>
            </w:r>
          </w:p>
          <w:p w:rsidR="009C1AC4" w:rsidRDefault="009C1AC4" w:rsidP="00A10F98">
            <w:pPr>
              <w:tabs>
                <w:tab w:val="left" w:pos="2835"/>
                <w:tab w:val="left" w:pos="4536"/>
                <w:tab w:val="left" w:pos="7371"/>
              </w:tabs>
            </w:pPr>
            <w:r>
              <w:t xml:space="preserve">       </w:t>
            </w:r>
            <w:r w:rsidRPr="00AC2288">
              <w:rPr>
                <w:position w:val="-28"/>
              </w:rPr>
              <w:object w:dxaOrig="1880" w:dyaOrig="740">
                <v:shape id="_x0000_i1038" type="#_x0000_t75" style="width:93.75pt;height:36.75pt" o:ole="">
                  <v:imagedata r:id="rId32" o:title=""/>
                </v:shape>
                <o:OLEObject Type="Embed" ProgID="Equation.DSMT4" ShapeID="_x0000_i1038" DrawAspect="Content" ObjectID="_1548568858" r:id="rId33"/>
              </w:object>
            </w:r>
          </w:p>
        </w:tc>
        <w:tc>
          <w:tcPr>
            <w:tcW w:w="4324" w:type="dxa"/>
          </w:tcPr>
          <w:p w:rsidR="009C1AC4" w:rsidRDefault="009C1AC4" w:rsidP="00A10F98">
            <w:r w:rsidRPr="00AC2288">
              <w:rPr>
                <w:position w:val="-28"/>
              </w:rPr>
              <w:object w:dxaOrig="1840" w:dyaOrig="740">
                <v:shape id="_x0000_i1039" type="#_x0000_t75" style="width:92.25pt;height:36.75pt" o:ole="">
                  <v:imagedata r:id="rId34" o:title=""/>
                </v:shape>
                <o:OLEObject Type="Embed" ProgID="Equation.DSMT4" ShapeID="_x0000_i1039" DrawAspect="Content" ObjectID="_1548568859" r:id="rId35"/>
              </w:object>
            </w:r>
            <w:r>
              <w:tab/>
              <w:t xml:space="preserve">| </w:t>
            </w:r>
            <w:r w:rsidRPr="00AC2288">
              <w:rPr>
                <w:position w:val="-22"/>
              </w:rPr>
              <w:object w:dxaOrig="360" w:dyaOrig="580">
                <v:shape id="_x0000_i1040" type="#_x0000_t75" style="width:18pt;height:29.25pt" o:ole="">
                  <v:imagedata r:id="rId36" o:title=""/>
                </v:shape>
                <o:OLEObject Type="Embed" ProgID="Equation.DSMT4" ShapeID="_x0000_i1040" DrawAspect="Content" ObjectID="_1548568860" r:id="rId37"/>
              </w:object>
            </w:r>
          </w:p>
          <w:p w:rsidR="009C1AC4" w:rsidRDefault="009C1AC4" w:rsidP="00A10F98">
            <w:r>
              <w:t xml:space="preserve">      </w:t>
            </w:r>
            <w:r w:rsidRPr="00AC2288">
              <w:rPr>
                <w:position w:val="-28"/>
              </w:rPr>
              <w:object w:dxaOrig="1860" w:dyaOrig="740">
                <v:shape id="_x0000_i1041" type="#_x0000_t75" style="width:93pt;height:36.75pt" o:ole="">
                  <v:imagedata r:id="rId38" o:title=""/>
                </v:shape>
                <o:OLEObject Type="Embed" ProgID="Equation.DSMT4" ShapeID="_x0000_i1041" DrawAspect="Content" ObjectID="_1548568861" r:id="rId39"/>
              </w:object>
            </w:r>
          </w:p>
          <w:p w:rsidR="009C1AC4" w:rsidRDefault="009C1AC4" w:rsidP="00A10F98">
            <w:r>
              <w:t xml:space="preserve">      </w:t>
            </w:r>
            <w:r w:rsidRPr="00F53F50">
              <w:rPr>
                <w:position w:val="-10"/>
              </w:rPr>
              <w:object w:dxaOrig="700" w:dyaOrig="320">
                <v:shape id="_x0000_i1042" type="#_x0000_t75" style="width:35.25pt;height:15.75pt" o:ole="">
                  <v:imagedata r:id="rId40" o:title=""/>
                </v:shape>
                <o:OLEObject Type="Embed" ProgID="Equation.DSMT4" ShapeID="_x0000_i1042" DrawAspect="Content" ObjectID="_1548568862" r:id="rId41"/>
              </w:object>
            </w:r>
          </w:p>
        </w:tc>
      </w:tr>
      <w:tr w:rsidR="009C1AC4" w:rsidRPr="00F53F50" w:rsidTr="007C72C8">
        <w:tc>
          <w:tcPr>
            <w:tcW w:w="4323" w:type="dxa"/>
          </w:tcPr>
          <w:p w:rsidR="009C1AC4" w:rsidRDefault="009C1AC4" w:rsidP="00A10F98">
            <w:pPr>
              <w:tabs>
                <w:tab w:val="left" w:pos="2835"/>
                <w:tab w:val="left" w:pos="4536"/>
                <w:tab w:val="left" w:pos="7371"/>
              </w:tabs>
            </w:pPr>
            <w:r w:rsidRPr="00037E23">
              <w:rPr>
                <w:position w:val="-28"/>
              </w:rPr>
              <w:object w:dxaOrig="1860" w:dyaOrig="740">
                <v:shape id="_x0000_i1043" type="#_x0000_t75" style="width:93pt;height:36.75pt" o:ole="">
                  <v:imagedata r:id="rId42" o:title=""/>
                </v:shape>
                <o:OLEObject Type="Embed" ProgID="Equation.DSMT4" ShapeID="_x0000_i1043" DrawAspect="Content" ObjectID="_1548568863" r:id="rId43"/>
              </w:object>
            </w:r>
            <w:r>
              <w:tab/>
              <w:t xml:space="preserve">| </w:t>
            </w:r>
            <w:r w:rsidRPr="00037E23">
              <w:rPr>
                <w:position w:val="-22"/>
              </w:rPr>
              <w:object w:dxaOrig="380" w:dyaOrig="580">
                <v:shape id="_x0000_i1044" type="#_x0000_t75" style="width:18.75pt;height:29.25pt" o:ole="">
                  <v:imagedata r:id="rId44" o:title=""/>
                </v:shape>
                <o:OLEObject Type="Embed" ProgID="Equation.DSMT4" ShapeID="_x0000_i1044" DrawAspect="Content" ObjectID="_1548568864" r:id="rId45"/>
              </w:object>
            </w:r>
          </w:p>
          <w:p w:rsidR="009C1AC4" w:rsidRDefault="009C1AC4" w:rsidP="00A10F98">
            <w:pPr>
              <w:tabs>
                <w:tab w:val="left" w:pos="2835"/>
                <w:tab w:val="left" w:pos="4536"/>
                <w:tab w:val="left" w:pos="7371"/>
              </w:tabs>
            </w:pPr>
            <w:r>
              <w:t xml:space="preserve">       </w:t>
            </w:r>
            <w:r w:rsidRPr="00037E23">
              <w:rPr>
                <w:position w:val="-28"/>
              </w:rPr>
              <w:object w:dxaOrig="1880" w:dyaOrig="740">
                <v:shape id="_x0000_i1045" type="#_x0000_t75" style="width:93.75pt;height:36.75pt" o:ole="">
                  <v:imagedata r:id="rId46" o:title=""/>
                </v:shape>
                <o:OLEObject Type="Embed" ProgID="Equation.DSMT4" ShapeID="_x0000_i1045" DrawAspect="Content" ObjectID="_1548568865" r:id="rId47"/>
              </w:object>
            </w:r>
          </w:p>
        </w:tc>
        <w:tc>
          <w:tcPr>
            <w:tcW w:w="4324" w:type="dxa"/>
          </w:tcPr>
          <w:p w:rsidR="009C1AC4" w:rsidRDefault="009C1AC4" w:rsidP="00A10F98">
            <w:r w:rsidRPr="00037E23">
              <w:rPr>
                <w:position w:val="-28"/>
              </w:rPr>
              <w:object w:dxaOrig="1840" w:dyaOrig="740">
                <v:shape id="_x0000_i1046" type="#_x0000_t75" style="width:92.25pt;height:36.75pt" o:ole="">
                  <v:imagedata r:id="rId48" o:title=""/>
                </v:shape>
                <o:OLEObject Type="Embed" ProgID="Equation.DSMT4" ShapeID="_x0000_i1046" DrawAspect="Content" ObjectID="_1548568866" r:id="rId49"/>
              </w:object>
            </w:r>
            <w:r>
              <w:tab/>
              <w:t xml:space="preserve">| </w:t>
            </w:r>
            <w:r w:rsidRPr="00037E23">
              <w:rPr>
                <w:position w:val="-22"/>
              </w:rPr>
              <w:object w:dxaOrig="360" w:dyaOrig="580">
                <v:shape id="_x0000_i1047" type="#_x0000_t75" style="width:18pt;height:29.25pt" o:ole="">
                  <v:imagedata r:id="rId50" o:title=""/>
                </v:shape>
                <o:OLEObject Type="Embed" ProgID="Equation.DSMT4" ShapeID="_x0000_i1047" DrawAspect="Content" ObjectID="_1548568867" r:id="rId51"/>
              </w:object>
            </w:r>
          </w:p>
          <w:p w:rsidR="009C1AC4" w:rsidRDefault="009C1AC4" w:rsidP="00A10F98">
            <w:r>
              <w:t xml:space="preserve">      </w:t>
            </w:r>
            <w:r w:rsidRPr="00037E23">
              <w:rPr>
                <w:position w:val="-28"/>
              </w:rPr>
              <w:object w:dxaOrig="1860" w:dyaOrig="740">
                <v:shape id="_x0000_i1048" type="#_x0000_t75" style="width:93pt;height:36.75pt" o:ole="">
                  <v:imagedata r:id="rId52" o:title=""/>
                </v:shape>
                <o:OLEObject Type="Embed" ProgID="Equation.DSMT4" ShapeID="_x0000_i1048" DrawAspect="Content" ObjectID="_1548568868" r:id="rId53"/>
              </w:object>
            </w:r>
          </w:p>
          <w:p w:rsidR="009C1AC4" w:rsidRDefault="009C1AC4" w:rsidP="00A10F98">
            <w:r>
              <w:t xml:space="preserve">      </w:t>
            </w:r>
            <w:r w:rsidRPr="00F53F50">
              <w:rPr>
                <w:position w:val="-10"/>
              </w:rPr>
              <w:object w:dxaOrig="700" w:dyaOrig="320">
                <v:shape id="_x0000_i1049" type="#_x0000_t75" style="width:35.25pt;height:15.75pt" o:ole="">
                  <v:imagedata r:id="rId54" o:title=""/>
                </v:shape>
                <o:OLEObject Type="Embed" ProgID="Equation.DSMT4" ShapeID="_x0000_i1049" DrawAspect="Content" ObjectID="_1548568869" r:id="rId55"/>
              </w:object>
            </w:r>
          </w:p>
        </w:tc>
      </w:tr>
    </w:tbl>
    <w:p w:rsidR="009C1AC4" w:rsidRDefault="009C1AC4" w:rsidP="009C1AC4">
      <w:pPr>
        <w:rPr>
          <w:b/>
          <w:u w:val="single"/>
        </w:rPr>
      </w:pPr>
    </w:p>
    <w:p w:rsidR="009C1AC4" w:rsidRDefault="009C1AC4" w:rsidP="009C1AC4">
      <w:pPr>
        <w:tabs>
          <w:tab w:val="left" w:pos="2835"/>
          <w:tab w:val="left" w:pos="4536"/>
          <w:tab w:val="left" w:pos="7371"/>
        </w:tabs>
      </w:pPr>
      <w:r>
        <w:t>Im Tafelwerk finden wir als Lösungsformel für quadratische Gleichungen:</w:t>
      </w:r>
    </w:p>
    <w:p w:rsidR="009C1AC4" w:rsidRDefault="00976663" w:rsidP="009C1AC4">
      <w:pPr>
        <w:tabs>
          <w:tab w:val="left" w:pos="2835"/>
          <w:tab w:val="left" w:pos="4536"/>
          <w:tab w:val="left" w:pos="7371"/>
        </w:tabs>
        <w:jc w:val="center"/>
      </w:pPr>
      <w:r w:rsidRPr="00037E23">
        <w:rPr>
          <w:color w:val="FF0000"/>
          <w:position w:val="-28"/>
        </w:rPr>
        <w:object w:dxaOrig="2000" w:dyaOrig="740">
          <v:shape id="_x0000_i1050" type="#_x0000_t75" style="width:92.25pt;height:33.75pt;mso-position-horizontal:absolute" o:ole="">
            <v:imagedata r:id="rId56" o:title=""/>
          </v:shape>
          <o:OLEObject Type="Embed" ProgID="Equation.DSMT4" ShapeID="_x0000_i1050" DrawAspect="Content" ObjectID="_1548568870" r:id="rId57"/>
        </w:object>
      </w:r>
    </w:p>
    <w:p w:rsidR="009C1AC4" w:rsidRDefault="009C1AC4" w:rsidP="009C1AC4">
      <w:r>
        <w:t>Hinweise:</w:t>
      </w:r>
    </w:p>
    <w:p w:rsidR="009C1AC4" w:rsidRDefault="009C1AC4" w:rsidP="009C1AC4">
      <w:pPr>
        <w:numPr>
          <w:ilvl w:val="0"/>
          <w:numId w:val="29"/>
        </w:numPr>
        <w:jc w:val="both"/>
      </w:pPr>
      <w:r>
        <w:t xml:space="preserve">Die </w:t>
      </w:r>
      <w:proofErr w:type="spellStart"/>
      <w:r>
        <w:t>Herleitung</w:t>
      </w:r>
      <w:proofErr w:type="spellEnd"/>
      <w:r>
        <w:t xml:space="preserve"> dieser Lösungsformel wird nicht verlangt. Sie dient nur zum Verständnis von m</w:t>
      </w:r>
      <w:r>
        <w:t>a</w:t>
      </w:r>
      <w:r>
        <w:t>thematischen Zusammenhängen.</w:t>
      </w:r>
    </w:p>
    <w:p w:rsidR="00976663" w:rsidRPr="00976663" w:rsidRDefault="00976663" w:rsidP="005E4695">
      <w:pPr>
        <w:numPr>
          <w:ilvl w:val="0"/>
          <w:numId w:val="29"/>
        </w:numPr>
        <w:jc w:val="both"/>
        <w:rPr>
          <w:color w:val="00B0F0"/>
          <w:sz w:val="20"/>
        </w:rPr>
      </w:pPr>
      <w:r>
        <w:t>Lösungsformeln gibt es auch für die allgemeine Form der</w:t>
      </w:r>
      <w:r w:rsidR="009C1AC4">
        <w:t xml:space="preserve"> quadratischen Gleichung </w:t>
      </w:r>
      <w:r w:rsidRPr="00976663">
        <w:rPr>
          <w:position w:val="-34"/>
        </w:rPr>
        <w:object w:dxaOrig="2299" w:dyaOrig="780">
          <v:shape id="_x0000_i1051" type="#_x0000_t75" style="width:98.25pt;height:33.75pt" o:ole="">
            <v:imagedata r:id="rId58" o:title=""/>
          </v:shape>
          <o:OLEObject Type="Embed" ProgID="Equation.DSMT4" ShapeID="_x0000_i1051" DrawAspect="Content" ObjectID="_1548568871" r:id="rId59"/>
        </w:object>
      </w:r>
      <w:r>
        <w:t xml:space="preserve"> und für die </w:t>
      </w:r>
      <w:proofErr w:type="spellStart"/>
      <w:proofErr w:type="gramStart"/>
      <w:r>
        <w:t>Scheitelpunktsform</w:t>
      </w:r>
      <w:proofErr w:type="spellEnd"/>
      <w:r>
        <w:t xml:space="preserve"> </w:t>
      </w:r>
      <w:proofErr w:type="gramEnd"/>
      <w:r w:rsidRPr="00976663">
        <w:rPr>
          <w:position w:val="-32"/>
        </w:rPr>
        <w:object w:dxaOrig="1700" w:dyaOrig="740">
          <v:shape id="_x0000_i1052" type="#_x0000_t75" style="width:78.75pt;height:33.75pt" o:ole="">
            <v:imagedata r:id="rId60" o:title=""/>
          </v:shape>
          <o:OLEObject Type="Embed" ProgID="Equation.DSMT4" ShapeID="_x0000_i1052" DrawAspect="Content" ObjectID="_1548568872" r:id="rId61"/>
        </w:object>
      </w:r>
      <w:r>
        <w:t xml:space="preserve">, </w:t>
      </w:r>
      <w:r w:rsidR="009C1AC4">
        <w:t>die sich ähnlich herle</w:t>
      </w:r>
      <w:r w:rsidR="009C1AC4">
        <w:t>i</w:t>
      </w:r>
      <w:r w:rsidR="009C1AC4">
        <w:t>ten l</w:t>
      </w:r>
      <w:r>
        <w:t>assen.</w:t>
      </w:r>
    </w:p>
    <w:sectPr w:rsidR="00976663" w:rsidRPr="00976663" w:rsidSect="007C72C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14F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96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1A9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2C8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6663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2FE1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9157-7361-4C81-A3AF-4ECA67D6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2017-02-14T08:05:00Z</dcterms:created>
  <dcterms:modified xsi:type="dcterms:W3CDTF">2017-02-14T08:05:00Z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