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2" w:rsidRDefault="00AD3F42" w:rsidP="00AD3F42">
      <w:pPr>
        <w:pStyle w:val="berschrift3"/>
        <w:numPr>
          <w:ilvl w:val="0"/>
          <w:numId w:val="0"/>
        </w:numPr>
      </w:pPr>
      <w:bookmarkStart w:id="0" w:name="_Toc287381241"/>
      <w:r>
        <w:t>2.2.5. Die Scheitelpunktsform der quadratischen Funktion</w:t>
      </w:r>
      <w:bookmarkEnd w:id="0"/>
    </w:p>
    <w:p w:rsidR="00AD3F42" w:rsidRDefault="00AD3F42" w:rsidP="00AD3F42"/>
    <w:p w:rsidR="00AD3F42" w:rsidRDefault="00AD3F42" w:rsidP="00AD3F42">
      <w:r>
        <w:t>f(x) = x</w:t>
      </w:r>
      <w:r>
        <w:rPr>
          <w:vertAlign w:val="superscript"/>
        </w:rPr>
        <w:t>2</w:t>
      </w:r>
      <w:r>
        <w:t xml:space="preserve"> – 4x + 3</w:t>
      </w:r>
      <w:r>
        <w:tab/>
      </w:r>
      <w:r>
        <w:tab/>
      </w:r>
      <w:r>
        <w:tab/>
        <w:t>Normalform der quadratischen Funktion</w:t>
      </w:r>
    </w:p>
    <w:p w:rsidR="00AD3F42" w:rsidRDefault="00AD3F42" w:rsidP="00AD3F42"/>
    <w:p w:rsidR="00AD3F42" w:rsidRDefault="00AD3F42" w:rsidP="00AD3F42">
      <w:r>
        <w:t>Wir wandeln diese Funktion mittels der quadratischen Ergänzung in ein vol</w:t>
      </w:r>
      <w:r>
        <w:t>l</w:t>
      </w:r>
      <w:r>
        <w:t>ständiges Binom um.</w:t>
      </w:r>
    </w:p>
    <w:p w:rsidR="00AD3F42" w:rsidRPr="00AD3F42" w:rsidRDefault="00AD3F42" w:rsidP="00AD3F42">
      <w:pPr>
        <w:rPr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4359"/>
      </w:tblGrid>
      <w:tr w:rsidR="00AD3F42" w:rsidTr="00385C29">
        <w:tc>
          <w:tcPr>
            <w:tcW w:w="4358" w:type="dxa"/>
          </w:tcPr>
          <w:p w:rsidR="00AD3F42" w:rsidRDefault="00AD3F42" w:rsidP="00A6323E">
            <w:r>
              <w:t>allgemein</w:t>
            </w:r>
          </w:p>
        </w:tc>
        <w:tc>
          <w:tcPr>
            <w:tcW w:w="4359" w:type="dxa"/>
          </w:tcPr>
          <w:p w:rsidR="00AD3F42" w:rsidRDefault="00AD3F42" w:rsidP="00A6323E">
            <w:r>
              <w:t>am Beispiel</w:t>
            </w:r>
          </w:p>
        </w:tc>
      </w:tr>
      <w:tr w:rsidR="00AD3F42" w:rsidTr="00385C29">
        <w:tc>
          <w:tcPr>
            <w:tcW w:w="4358" w:type="dxa"/>
          </w:tcPr>
          <w:p w:rsidR="00AD3F42" w:rsidRDefault="00AD3F42" w:rsidP="00A6323E">
            <w:r w:rsidRPr="00D33544">
              <w:rPr>
                <w:position w:val="-12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8pt" o:ole="">
                  <v:imagedata r:id="rId6" o:title=""/>
                </v:shape>
                <o:OLEObject Type="Embed" ProgID="Equation.DSMT4" ShapeID="_x0000_i1025" DrawAspect="Content" ObjectID="_1548569118" r:id="rId7"/>
              </w:object>
            </w:r>
          </w:p>
          <w:p w:rsidR="00AD3F42" w:rsidRDefault="00AD3F42" w:rsidP="00A6323E">
            <w:r w:rsidRPr="00D33544">
              <w:rPr>
                <w:position w:val="-26"/>
              </w:rPr>
              <w:object w:dxaOrig="2920" w:dyaOrig="680">
                <v:shape id="_x0000_i1026" type="#_x0000_t75" style="width:146.25pt;height:33.75pt" o:ole="">
                  <v:imagedata r:id="rId8" o:title=""/>
                </v:shape>
                <o:OLEObject Type="Embed" ProgID="Equation.DSMT4" ShapeID="_x0000_i1026" DrawAspect="Content" ObjectID="_1548569119" r:id="rId9"/>
              </w:object>
            </w:r>
          </w:p>
          <w:p w:rsidR="00AD3F42" w:rsidRDefault="00AD3F42" w:rsidP="00A6323E"/>
          <w:p w:rsidR="00AD3F42" w:rsidRDefault="00AD3F42" w:rsidP="00A6323E">
            <w:r w:rsidRPr="00D33544">
              <w:rPr>
                <w:position w:val="-26"/>
              </w:rPr>
              <w:object w:dxaOrig="2420" w:dyaOrig="680">
                <v:shape id="_x0000_i1027" type="#_x0000_t75" style="width:120.75pt;height:33.75pt" o:ole="">
                  <v:imagedata r:id="rId10" o:title=""/>
                </v:shape>
                <o:OLEObject Type="Embed" ProgID="Equation.DSMT4" ShapeID="_x0000_i1027" DrawAspect="Content" ObjectID="_1548569120" r:id="rId11"/>
              </w:object>
            </w:r>
          </w:p>
        </w:tc>
        <w:tc>
          <w:tcPr>
            <w:tcW w:w="4359" w:type="dxa"/>
          </w:tcPr>
          <w:p w:rsidR="00AD3F42" w:rsidRDefault="00AD3F42" w:rsidP="00A6323E">
            <w:r w:rsidRPr="00D33544">
              <w:rPr>
                <w:position w:val="-12"/>
              </w:rPr>
              <w:object w:dxaOrig="1620" w:dyaOrig="360">
                <v:shape id="_x0000_i1028" type="#_x0000_t75" style="width:81pt;height:18pt" o:ole="">
                  <v:imagedata r:id="rId12" o:title=""/>
                </v:shape>
                <o:OLEObject Type="Embed" ProgID="Equation.DSMT4" ShapeID="_x0000_i1028" DrawAspect="Content" ObjectID="_1548569121" r:id="rId13"/>
              </w:object>
            </w:r>
          </w:p>
          <w:p w:rsidR="00AD3F42" w:rsidRDefault="00AD3F42" w:rsidP="00A6323E">
            <w:r w:rsidRPr="00D33544">
              <w:rPr>
                <w:position w:val="-26"/>
              </w:rPr>
              <w:object w:dxaOrig="3140" w:dyaOrig="680">
                <v:shape id="_x0000_i1029" type="#_x0000_t75" style="width:156.75pt;height:33.75pt" o:ole="">
                  <v:imagedata r:id="rId14" o:title=""/>
                </v:shape>
                <o:OLEObject Type="Embed" ProgID="Equation.DSMT4" ShapeID="_x0000_i1029" DrawAspect="Content" ObjectID="_1548569122" r:id="rId15"/>
              </w:object>
            </w:r>
          </w:p>
          <w:p w:rsidR="00AD3F42" w:rsidRDefault="00AD3F42" w:rsidP="00A6323E">
            <w:r w:rsidRPr="00D33544">
              <w:rPr>
                <w:position w:val="-12"/>
              </w:rPr>
              <w:object w:dxaOrig="2220" w:dyaOrig="360">
                <v:shape id="_x0000_i1030" type="#_x0000_t75" style="width:111pt;height:18pt" o:ole="">
                  <v:imagedata r:id="rId16" o:title=""/>
                </v:shape>
                <o:OLEObject Type="Embed" ProgID="Equation.DSMT4" ShapeID="_x0000_i1030" DrawAspect="Content" ObjectID="_1548569123" r:id="rId17"/>
              </w:object>
            </w:r>
          </w:p>
          <w:p w:rsidR="00AD3F42" w:rsidRDefault="00AD3F42" w:rsidP="00A6323E">
            <w:r w:rsidRPr="00747037">
              <w:rPr>
                <w:position w:val="-12"/>
              </w:rPr>
              <w:object w:dxaOrig="1640" w:dyaOrig="400">
                <v:shape id="_x0000_i1031" type="#_x0000_t75" style="width:81.75pt;height:20.25pt" o:ole="">
                  <v:imagedata r:id="rId18" o:title=""/>
                </v:shape>
                <o:OLEObject Type="Embed" ProgID="Equation.DSMT4" ShapeID="_x0000_i1031" DrawAspect="Content" ObjectID="_1548569124" r:id="rId19"/>
              </w:object>
            </w:r>
          </w:p>
        </w:tc>
      </w:tr>
      <w:tr w:rsidR="00AD3F42" w:rsidTr="00385C29">
        <w:trPr>
          <w:cantSplit/>
        </w:trPr>
        <w:tc>
          <w:tcPr>
            <w:tcW w:w="8717" w:type="dxa"/>
            <w:gridSpan w:val="2"/>
          </w:tcPr>
          <w:p w:rsidR="00AD3F42" w:rsidRDefault="00AD3F42" w:rsidP="00AD3F42">
            <w:pPr>
              <w:tabs>
                <w:tab w:val="left" w:pos="4536"/>
              </w:tabs>
              <w:jc w:val="both"/>
            </w:pPr>
            <w:r>
              <w:t xml:space="preserve">Man schreibt für </w:t>
            </w:r>
            <w:r w:rsidRPr="00747037">
              <w:rPr>
                <w:position w:val="-22"/>
              </w:rPr>
              <w:object w:dxaOrig="540" w:dyaOrig="580">
                <v:shape id="_x0000_i1032" type="#_x0000_t75" style="width:27pt;height:29.25pt" o:ole="">
                  <v:imagedata r:id="rId20" o:title=""/>
                </v:shape>
                <o:OLEObject Type="Embed" ProgID="Equation.DSMT4" ShapeID="_x0000_i1032" DrawAspect="Content" ObjectID="_1548569125" r:id="rId21"/>
              </w:object>
            </w:r>
            <w:r>
              <w:t xml:space="preserve"> und für </w:t>
            </w:r>
            <w:r w:rsidRPr="00D33544">
              <w:rPr>
                <w:position w:val="-26"/>
              </w:rPr>
              <w:object w:dxaOrig="1300" w:dyaOrig="680">
                <v:shape id="_x0000_i1033" type="#_x0000_t75" style="width:65.25pt;height:33.75pt" o:ole="">
                  <v:imagedata r:id="rId22" o:title=""/>
                </v:shape>
                <o:OLEObject Type="Embed" ProgID="Equation.DSMT4" ShapeID="_x0000_i1033" DrawAspect="Content" ObjectID="_1548569126" r:id="rId23"/>
              </w:object>
            </w:r>
            <w:r>
              <w:t xml:space="preserve"> und erhält die SCHEITELPUNKTSFORM der qua</w:t>
            </w:r>
            <w:r>
              <w:t>d</w:t>
            </w:r>
            <w:r>
              <w:t>ratischen Funktion.</w:t>
            </w:r>
          </w:p>
          <w:p w:rsidR="00AD3F42" w:rsidRDefault="00AD3F42" w:rsidP="00A6323E">
            <w:pPr>
              <w:tabs>
                <w:tab w:val="left" w:pos="4536"/>
              </w:tabs>
            </w:pPr>
          </w:p>
          <w:p w:rsidR="00AD3F42" w:rsidRDefault="00AD3F42" w:rsidP="00A6323E">
            <w:pPr>
              <w:jc w:val="center"/>
            </w:pPr>
            <w:r w:rsidRPr="00D33544">
              <w:rPr>
                <w:position w:val="-12"/>
              </w:rPr>
              <w:object w:dxaOrig="1680" w:dyaOrig="400">
                <v:shape id="_x0000_i1034" type="#_x0000_t75" style="width:84pt;height:20.25pt" o:ole="">
                  <v:imagedata r:id="rId24" o:title=""/>
                </v:shape>
                <o:OLEObject Type="Embed" ProgID="Equation.DSMT4" ShapeID="_x0000_i1034" DrawAspect="Content" ObjectID="_1548569127" r:id="rId25"/>
              </w:object>
            </w:r>
            <w:r>
              <w:t xml:space="preserve"> </w:t>
            </w:r>
            <w:r>
              <w:tab/>
            </w:r>
            <w:r>
              <w:tab/>
              <w:t xml:space="preserve">d; e ϵ </w:t>
            </w:r>
            <w:r w:rsidR="00385C29">
              <w:rPr>
                <w:rFonts w:ascii="Mengenzeichen" w:hAnsi="Mengenzeichen"/>
              </w:rPr>
              <w:sym w:font="Euclid Extra" w:char="F0A1"/>
            </w:r>
          </w:p>
          <w:p w:rsidR="00AD3F42" w:rsidRDefault="00AD3F42" w:rsidP="00A6323E">
            <w:pPr>
              <w:jc w:val="center"/>
            </w:pPr>
          </w:p>
          <w:p w:rsidR="00AD3F42" w:rsidRDefault="00AD3F42" w:rsidP="00AD3F42">
            <w:pPr>
              <w:jc w:val="both"/>
            </w:pPr>
            <w:r>
              <w:t>Vorteil: Aus der Scheitelpunktsform lassen sich sofort die Koordinaten des Scheitelpunktes a</w:t>
            </w:r>
            <w:r>
              <w:t>b</w:t>
            </w:r>
            <w:r>
              <w:t>lesen.</w:t>
            </w:r>
          </w:p>
          <w:p w:rsidR="00AD3F42" w:rsidRDefault="00AD3F42" w:rsidP="00AD3F42">
            <w:pPr>
              <w:jc w:val="both"/>
            </w:pPr>
          </w:p>
        </w:tc>
      </w:tr>
      <w:tr w:rsidR="00AD3F42" w:rsidTr="00385C29">
        <w:tc>
          <w:tcPr>
            <w:tcW w:w="4358" w:type="dxa"/>
          </w:tcPr>
          <w:p w:rsidR="00AD3F42" w:rsidRDefault="00AD3F42" w:rsidP="00A6323E">
            <w:pPr>
              <w:tabs>
                <w:tab w:val="left" w:pos="4536"/>
              </w:tabs>
            </w:pPr>
          </w:p>
          <w:p w:rsidR="00AD3F42" w:rsidRDefault="00AD3F42" w:rsidP="00A6323E">
            <w:pPr>
              <w:tabs>
                <w:tab w:val="left" w:pos="4536"/>
              </w:tabs>
            </w:pPr>
            <w:r>
              <w:t>allgemein: S (–d; e)</w:t>
            </w:r>
          </w:p>
          <w:p w:rsidR="00AD3F42" w:rsidRDefault="00AD3F42" w:rsidP="00A6323E">
            <w:pPr>
              <w:tabs>
                <w:tab w:val="left" w:pos="4536"/>
              </w:tabs>
            </w:pPr>
          </w:p>
        </w:tc>
        <w:tc>
          <w:tcPr>
            <w:tcW w:w="4359" w:type="dxa"/>
          </w:tcPr>
          <w:p w:rsidR="00AD3F42" w:rsidRDefault="00AD3F42" w:rsidP="00A6323E"/>
          <w:p w:rsidR="00AD3F42" w:rsidRDefault="00AD3F42" w:rsidP="00A6323E">
            <w:r>
              <w:t>am Beispiel: S (2;–1)</w:t>
            </w:r>
          </w:p>
        </w:tc>
      </w:tr>
    </w:tbl>
    <w:p w:rsidR="00AD3F42" w:rsidRDefault="00AD3F42" w:rsidP="00AD3F42"/>
    <w:p w:rsidR="0044246B" w:rsidRDefault="0044246B" w:rsidP="0044246B">
      <w:pPr>
        <w:rPr>
          <w:b/>
        </w:rPr>
      </w:pPr>
    </w:p>
    <w:p w:rsidR="00EA7B14" w:rsidRDefault="00EA7B14" w:rsidP="004F2BB4">
      <w:pPr>
        <w:rPr>
          <w:sz w:val="20"/>
        </w:rPr>
      </w:pPr>
    </w:p>
    <w:sectPr w:rsidR="00EA7B14" w:rsidSect="00385C2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3F2A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C29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919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EC81-113B-46F9-BC11-7D9995BC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2017-02-14T08:09:00Z</dcterms:created>
  <dcterms:modified xsi:type="dcterms:W3CDTF">2017-02-14T08:09:00Z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