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FB" w:rsidRDefault="00DB30FB" w:rsidP="00DB30FB">
      <w:pPr>
        <w:rPr>
          <w:b/>
          <w:color w:val="00FF00"/>
          <w:u w:val="single"/>
        </w:rPr>
      </w:pPr>
      <w:bookmarkStart w:id="0" w:name="_Toc237331448"/>
      <w:r>
        <w:rPr>
          <w:b/>
          <w:color w:val="00FF00"/>
          <w:u w:val="single"/>
        </w:rPr>
        <w:t>1.3. Krummflächig begrenzte Körper</w:t>
      </w:r>
    </w:p>
    <w:p w:rsidR="00DB30FB" w:rsidRDefault="00DB30FB" w:rsidP="00DB30FB">
      <w:pPr>
        <w:rPr>
          <w:b/>
          <w:u w:val="single"/>
        </w:rPr>
      </w:pPr>
    </w:p>
    <w:p w:rsidR="001E1EF5" w:rsidRDefault="00626D24" w:rsidP="001E1EF5">
      <w:pPr>
        <w:pStyle w:val="berschrift3"/>
        <w:numPr>
          <w:ilvl w:val="0"/>
          <w:numId w:val="0"/>
        </w:numPr>
        <w:suppressAutoHyphens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102235</wp:posOffset>
            </wp:positionV>
            <wp:extent cx="2286000" cy="1323975"/>
            <wp:effectExtent l="0" t="0" r="0" b="0"/>
            <wp:wrapSquare wrapText="left"/>
            <wp:docPr id="80" name="Bild 80" descr="Z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Zylin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EF5">
        <w:t>1.</w:t>
      </w:r>
      <w:r w:rsidR="00DB30FB">
        <w:t>3</w:t>
      </w:r>
      <w:r w:rsidR="001E1EF5">
        <w:t>.</w:t>
      </w:r>
      <w:r w:rsidR="00DB30FB">
        <w:t>1</w:t>
      </w:r>
      <w:r w:rsidR="001E1EF5">
        <w:t xml:space="preserve">. </w:t>
      </w:r>
      <w:bookmarkEnd w:id="0"/>
      <w:r w:rsidR="00DB30FB">
        <w:t>Der Kreiszylinder</w:t>
      </w:r>
    </w:p>
    <w:p w:rsidR="00DB30FB" w:rsidRDefault="00DB30FB" w:rsidP="00DB30FB"/>
    <w:p w:rsidR="00DB30FB" w:rsidRDefault="00DB30FB" w:rsidP="00DB30FB">
      <w:pPr>
        <w:pStyle w:val="Definition"/>
        <w:jc w:val="both"/>
      </w:pPr>
      <w:r>
        <w:t>DEF: Einen Körper mit zwei zueina</w:t>
      </w:r>
      <w:r>
        <w:t>n</w:t>
      </w:r>
      <w:r>
        <w:t xml:space="preserve">der kongruenten und parallelen Kreisen als Grund- und Deckfläche nennt man </w:t>
      </w:r>
      <w:r w:rsidR="00CA6FE7">
        <w:t>KREISZYLINDER</w:t>
      </w:r>
      <w:r>
        <w:t xml:space="preserve"> </w:t>
      </w:r>
    </w:p>
    <w:p w:rsidR="00DB30FB" w:rsidRDefault="00DB30FB" w:rsidP="00DB30FB"/>
    <w:p w:rsidR="00DB30FB" w:rsidRDefault="00DB30FB" w:rsidP="00DB30FB">
      <w:pPr>
        <w:pStyle w:val="Merksatz"/>
      </w:pPr>
      <w:r>
        <w:sym w:font="Marlett" w:char="F034"/>
      </w:r>
      <w:r>
        <w:t>Liegen die Mittelpunkte der Kreisflächen des Zyli</w:t>
      </w:r>
      <w:r>
        <w:t>n</w:t>
      </w:r>
      <w:r>
        <w:t>ders senkrecht übereinander, so handelt es sich um einen geraden Kreiszylinder.</w:t>
      </w:r>
    </w:p>
    <w:p w:rsidR="00DB30FB" w:rsidRDefault="00DB30FB" w:rsidP="00DB30FB">
      <w:pPr>
        <w:pStyle w:val="Merksatz"/>
      </w:pPr>
      <w:r>
        <w:sym w:font="Marlett" w:char="F034"/>
      </w:r>
      <w:r>
        <w:t>Die Mantelfläche des geraden Kreiszylinders ist ein Rechteck.</w:t>
      </w:r>
    </w:p>
    <w:p w:rsidR="00DB30FB" w:rsidRDefault="00DB30FB" w:rsidP="00DB30FB"/>
    <w:p w:rsidR="00DB30FB" w:rsidRDefault="00DB30FB" w:rsidP="00DB30FB">
      <w:pPr>
        <w:tabs>
          <w:tab w:val="left" w:pos="2552"/>
          <w:tab w:val="left" w:pos="5103"/>
        </w:tabs>
        <w:rPr>
          <w:b/>
          <w:color w:val="FF0000"/>
        </w:rPr>
      </w:pPr>
      <w:r>
        <w:rPr>
          <w:b/>
          <w:color w:val="FF0000"/>
        </w:rPr>
        <w:t>Volumen</w:t>
      </w:r>
      <w:r>
        <w:rPr>
          <w:b/>
          <w:color w:val="FF0000"/>
        </w:rPr>
        <w:tab/>
        <w:t>Mantelfläche</w:t>
      </w:r>
      <w:r>
        <w:rPr>
          <w:b/>
          <w:color w:val="FF0000"/>
        </w:rPr>
        <w:tab/>
        <w:t>Oberfläche</w:t>
      </w:r>
    </w:p>
    <w:p w:rsidR="00DB30FB" w:rsidRDefault="00DB30FB" w:rsidP="00DB30FB">
      <w:pPr>
        <w:tabs>
          <w:tab w:val="left" w:pos="2552"/>
          <w:tab w:val="left" w:pos="5103"/>
        </w:tabs>
        <w:rPr>
          <w:b/>
          <w:color w:val="FF0000"/>
        </w:rPr>
      </w:pPr>
      <w:r w:rsidRPr="00DB30FB">
        <w:rPr>
          <w:b/>
          <w:color w:val="FF0000"/>
          <w:position w:val="-6"/>
        </w:rPr>
        <w:object w:dxaOrig="8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pt" o:ole="">
            <v:imagedata r:id="rId7" o:title=""/>
          </v:shape>
          <o:OLEObject Type="Embed" ProgID="Equation.DSMT4" ShapeID="_x0000_i1025" DrawAspect="Content" ObjectID="_1548569737" r:id="rId8"/>
        </w:object>
      </w:r>
      <w:r>
        <w:rPr>
          <w:b/>
          <w:color w:val="FF0000"/>
        </w:rPr>
        <w:tab/>
      </w:r>
      <w:r w:rsidRPr="00DB30FB">
        <w:rPr>
          <w:b/>
          <w:color w:val="FF0000"/>
          <w:position w:val="-10"/>
        </w:rPr>
        <w:object w:dxaOrig="960" w:dyaOrig="320">
          <v:shape id="_x0000_i1026" type="#_x0000_t75" style="width:48pt;height:15.75pt" o:ole="">
            <v:imagedata r:id="rId9" o:title=""/>
          </v:shape>
          <o:OLEObject Type="Embed" ProgID="Equation.DSMT4" ShapeID="_x0000_i1026" DrawAspect="Content" ObjectID="_1548569738" r:id="rId10"/>
        </w:object>
      </w:r>
      <w:r>
        <w:rPr>
          <w:b/>
          <w:color w:val="FF0000"/>
        </w:rPr>
        <w:tab/>
      </w:r>
      <w:r w:rsidRPr="00DB30FB">
        <w:rPr>
          <w:b/>
          <w:color w:val="FF0000"/>
          <w:position w:val="-48"/>
        </w:rPr>
        <w:object w:dxaOrig="1540" w:dyaOrig="1060">
          <v:shape id="_x0000_i1027" type="#_x0000_t75" style="width:77.25pt;height:53.25pt" o:ole="">
            <v:imagedata r:id="rId11" o:title=""/>
          </v:shape>
          <o:OLEObject Type="Embed" ProgID="Equation.DSMT4" ShapeID="_x0000_i1027" DrawAspect="Content" ObjectID="_1548569739" r:id="rId12"/>
        </w:object>
      </w:r>
    </w:p>
    <w:p w:rsidR="00DB30FB" w:rsidRDefault="00DB30FB" w:rsidP="00DB30FB">
      <w:pPr>
        <w:pStyle w:val="Merksatz"/>
        <w:tabs>
          <w:tab w:val="center" w:pos="3969"/>
          <w:tab w:val="center" w:pos="5954"/>
          <w:tab w:val="center" w:pos="7938"/>
        </w:tabs>
      </w:pPr>
      <w:r>
        <w:sym w:font="Marlett" w:char="F034"/>
      </w:r>
      <w:r>
        <w:t>Einheiten für Raummaße und Hohlmaße</w:t>
      </w:r>
    </w:p>
    <w:p w:rsidR="004D6AC8" w:rsidRDefault="00677326" w:rsidP="00DB30FB">
      <w:pPr>
        <w:pStyle w:val="Merksatz"/>
        <w:tabs>
          <w:tab w:val="clear" w:pos="851"/>
          <w:tab w:val="clear" w:pos="3119"/>
          <w:tab w:val="clear" w:pos="4253"/>
          <w:tab w:val="clear" w:pos="5245"/>
          <w:tab w:val="center" w:pos="3686"/>
          <w:tab w:val="center" w:pos="5387"/>
          <w:tab w:val="center" w:pos="7938"/>
        </w:tabs>
        <w:rPr>
          <w:vertAlign w:val="superscript"/>
        </w:rPr>
      </w:pPr>
      <w:r w:rsidRPr="00677326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11" type="#_x0000_t69" style="position:absolute;left:0;text-align:left;margin-left:203.7pt;margin-top:10pt;width:45.7pt;height:20.65pt;z-index:251671552" o:allowincell="f" strokecolor="#36f" strokeweight="2.25pt">
            <v:textbox style="mso-next-textbox:#_x0000_s1111" inset="0,0,0,0">
              <w:txbxContent>
                <w:p w:rsidR="00DB30FB" w:rsidRPr="00DB30FB" w:rsidRDefault="00DB30FB" w:rsidP="00DB30FB">
                  <w:pPr>
                    <w:jc w:val="center"/>
                    <w:rPr>
                      <w:sz w:val="18"/>
                      <w:szCs w:val="18"/>
                    </w:rPr>
                  </w:pPr>
                  <w:r w:rsidRPr="00DB30FB">
                    <w:rPr>
                      <w:sz w:val="18"/>
                      <w:szCs w:val="18"/>
                    </w:rPr>
                    <w:t>1000</w:t>
                  </w:r>
                </w:p>
              </w:txbxContent>
            </v:textbox>
          </v:shape>
        </w:pict>
      </w:r>
      <w:r w:rsidRPr="00677326">
        <w:rPr>
          <w:noProof/>
        </w:rPr>
        <w:pict>
          <v:shape id="_x0000_s1110" type="#_x0000_t69" style="position:absolute;left:0;text-align:left;margin-left:117.45pt;margin-top:10pt;width:45.7pt;height:20.65pt;z-index:251670528" o:allowincell="f" strokecolor="#36f" strokeweight="2.25pt">
            <v:textbox style="mso-next-textbox:#_x0000_s1110" inset="0,0,0,0">
              <w:txbxContent>
                <w:p w:rsidR="00DB30FB" w:rsidRPr="00DB30FB" w:rsidRDefault="00DB30FB" w:rsidP="00DB30FB">
                  <w:pPr>
                    <w:jc w:val="center"/>
                    <w:rPr>
                      <w:sz w:val="18"/>
                      <w:szCs w:val="18"/>
                    </w:rPr>
                  </w:pPr>
                  <w:r w:rsidRPr="00DB30FB">
                    <w:rPr>
                      <w:sz w:val="18"/>
                      <w:szCs w:val="18"/>
                    </w:rPr>
                    <w:t>1000</w:t>
                  </w:r>
                </w:p>
              </w:txbxContent>
            </v:textbox>
          </v:shape>
        </w:pict>
      </w:r>
      <w:r w:rsidRPr="00677326">
        <w:pict>
          <v:shape id="_x0000_s1105" type="#_x0000_t69" style="position:absolute;left:0;text-align:left;margin-left:36.45pt;margin-top:10pt;width:45.7pt;height:20.65pt;z-index:251665408" o:allowincell="f" strokecolor="#36f" strokeweight="2.25pt">
            <v:textbox style="mso-next-textbox:#_x0000_s1105" inset="0,0,0,0">
              <w:txbxContent>
                <w:p w:rsidR="00DB30FB" w:rsidRPr="00DB30FB" w:rsidRDefault="00DB30FB" w:rsidP="00DB30FB">
                  <w:pPr>
                    <w:jc w:val="center"/>
                    <w:rPr>
                      <w:sz w:val="18"/>
                      <w:szCs w:val="18"/>
                    </w:rPr>
                  </w:pPr>
                  <w:r w:rsidRPr="00DB30FB">
                    <w:rPr>
                      <w:sz w:val="18"/>
                      <w:szCs w:val="18"/>
                    </w:rPr>
                    <w:t>1000</w:t>
                  </w:r>
                </w:p>
              </w:txbxContent>
            </v:textbox>
          </v:shape>
        </w:pict>
      </w:r>
      <w:r w:rsidR="00DB30FB">
        <w:br/>
        <w:t>1 m</w:t>
      </w:r>
      <w:r w:rsidR="00DB30FB">
        <w:rPr>
          <w:vertAlign w:val="superscript"/>
        </w:rPr>
        <w:t>3</w:t>
      </w:r>
      <w:r w:rsidR="00DB30FB">
        <w:tab/>
        <w:t>1 dm</w:t>
      </w:r>
      <w:r w:rsidR="00DB30FB">
        <w:rPr>
          <w:vertAlign w:val="superscript"/>
        </w:rPr>
        <w:t>3</w:t>
      </w:r>
      <w:r w:rsidR="00DB30FB">
        <w:tab/>
        <w:t>1 cm</w:t>
      </w:r>
      <w:r w:rsidR="00DB30FB">
        <w:rPr>
          <w:vertAlign w:val="superscript"/>
        </w:rPr>
        <w:t>3</w:t>
      </w:r>
      <w:r w:rsidR="00DB30FB">
        <w:tab/>
        <w:t>1 mm</w:t>
      </w:r>
      <w:r w:rsidR="00DB30FB">
        <w:rPr>
          <w:vertAlign w:val="superscript"/>
        </w:rPr>
        <w:t>3</w:t>
      </w:r>
    </w:p>
    <w:p w:rsidR="004D6AC8" w:rsidRDefault="00677326" w:rsidP="00DB30FB">
      <w:pPr>
        <w:pStyle w:val="Merksatz"/>
        <w:tabs>
          <w:tab w:val="clear" w:pos="851"/>
          <w:tab w:val="clear" w:pos="3119"/>
          <w:tab w:val="clear" w:pos="4253"/>
          <w:tab w:val="clear" w:pos="5245"/>
          <w:tab w:val="center" w:pos="3686"/>
          <w:tab w:val="center" w:pos="5387"/>
          <w:tab w:val="center" w:pos="7938"/>
        </w:tabs>
      </w:pPr>
      <w:r>
        <w:rPr>
          <w:noProof/>
        </w:rPr>
        <w:pict>
          <v:shape id="_x0000_s1112" type="#_x0000_t69" style="position:absolute;left:0;text-align:left;margin-left:117.45pt;margin-top:9.35pt;width:45.7pt;height:20.65pt;z-index:251672576" o:allowincell="f" strokecolor="#36f" strokeweight="2.25pt">
            <v:textbox style="mso-next-textbox:#_x0000_s1112" inset="0,0,0,0">
              <w:txbxContent>
                <w:p w:rsidR="004D6AC8" w:rsidRPr="00DB30FB" w:rsidRDefault="004D6AC8" w:rsidP="004D6AC8">
                  <w:pPr>
                    <w:jc w:val="center"/>
                    <w:rPr>
                      <w:sz w:val="18"/>
                      <w:szCs w:val="18"/>
                    </w:rPr>
                  </w:pPr>
                  <w:r w:rsidRPr="00DB30FB">
                    <w:rPr>
                      <w:sz w:val="18"/>
                      <w:szCs w:val="18"/>
                    </w:rPr>
                    <w:t>1000</w:t>
                  </w:r>
                </w:p>
              </w:txbxContent>
            </v:textbox>
          </v:shape>
        </w:pict>
      </w:r>
    </w:p>
    <w:p w:rsidR="00DB30FB" w:rsidRDefault="004D6AC8" w:rsidP="00DB30FB">
      <w:pPr>
        <w:pStyle w:val="Merksatz"/>
        <w:tabs>
          <w:tab w:val="clear" w:pos="851"/>
          <w:tab w:val="clear" w:pos="3119"/>
          <w:tab w:val="clear" w:pos="4253"/>
          <w:tab w:val="clear" w:pos="5245"/>
          <w:tab w:val="center" w:pos="3686"/>
          <w:tab w:val="center" w:pos="5387"/>
          <w:tab w:val="center" w:pos="7938"/>
        </w:tabs>
      </w:pPr>
      <w:r>
        <w:tab/>
      </w:r>
      <w:r w:rsidR="00DB30FB">
        <w:tab/>
        <w:t>1 l</w:t>
      </w:r>
      <w:r w:rsidR="00DB30FB">
        <w:tab/>
        <w:t>1 ml</w:t>
      </w:r>
    </w:p>
    <w:p w:rsidR="00DB30FB" w:rsidRDefault="00DB30FB" w:rsidP="00DB30FB"/>
    <w:p w:rsidR="004D6AC8" w:rsidRDefault="004D6AC8" w:rsidP="004D6AC8"/>
    <w:p w:rsidR="004D6AC8" w:rsidRDefault="004D6AC8" w:rsidP="004D6AC8">
      <w:pPr>
        <w:pStyle w:val="Merksatz"/>
      </w:pPr>
      <w:r>
        <w:sym w:font="Marlett" w:char="F034"/>
      </w:r>
      <w:r>
        <w:t>Ein Zylinder, der eine Bohrung enthält, nennt man HOHLZYLINDER.</w:t>
      </w:r>
    </w:p>
    <w:p w:rsidR="004D6AC8" w:rsidRDefault="00677326" w:rsidP="004D6AC8">
      <w:pPr>
        <w:pStyle w:val="Fuzeile"/>
        <w:tabs>
          <w:tab w:val="clear" w:pos="9072"/>
        </w:tabs>
      </w:pPr>
      <w:r>
        <w:rPr>
          <w:noProof/>
        </w:rPr>
        <w:pict>
          <v:shape id="_x0000_s1113" type="#_x0000_t75" style="position:absolute;margin-left:241.15pt;margin-top:13.7pt;width:116.3pt;height:97.5pt;z-index:251674624">
            <v:imagedata r:id="rId13" o:title=""/>
            <w10:wrap type="square"/>
          </v:shape>
          <o:OLEObject Type="Embed" ProgID="MSPhotoEd.3" ShapeID="_x0000_s1113" DrawAspect="Content" ObjectID="_1548569743" r:id="rId14"/>
        </w:pict>
      </w:r>
    </w:p>
    <w:p w:rsidR="004D6AC8" w:rsidRDefault="004D6AC8" w:rsidP="004D6AC8">
      <w:pPr>
        <w:pStyle w:val="Fuzeile"/>
        <w:tabs>
          <w:tab w:val="clear" w:pos="9072"/>
        </w:tabs>
      </w:pPr>
      <w:r>
        <w:t>Grundfläche von Hohlzylindern:</w:t>
      </w:r>
    </w:p>
    <w:p w:rsidR="004D6AC8" w:rsidRPr="00925F3C" w:rsidRDefault="004D6AC8" w:rsidP="004D6AC8">
      <w:pPr>
        <w:pStyle w:val="Fuzeile"/>
        <w:tabs>
          <w:tab w:val="clear" w:pos="9072"/>
        </w:tabs>
        <w:rPr>
          <w:b/>
          <w:color w:val="FF0000"/>
        </w:rPr>
      </w:pPr>
      <w:r w:rsidRPr="004D6AC8">
        <w:rPr>
          <w:position w:val="-34"/>
        </w:rPr>
        <w:object w:dxaOrig="1380" w:dyaOrig="780">
          <v:shape id="_x0000_i1028" type="#_x0000_t75" style="width:69pt;height:39pt" o:ole="">
            <v:imagedata r:id="rId15" o:title=""/>
          </v:shape>
          <o:OLEObject Type="Embed" ProgID="Equation.DSMT4" ShapeID="_x0000_i1028" DrawAspect="Content" ObjectID="_1548569740" r:id="rId16"/>
        </w:object>
      </w:r>
    </w:p>
    <w:p w:rsidR="004D6AC8" w:rsidRDefault="004D6AC8" w:rsidP="004D6AC8">
      <w:pPr>
        <w:pStyle w:val="Fuzeile"/>
        <w:tabs>
          <w:tab w:val="clear" w:pos="9072"/>
        </w:tabs>
      </w:pPr>
    </w:p>
    <w:p w:rsidR="004D6AC8" w:rsidRDefault="004D6AC8" w:rsidP="004D6AC8">
      <w:pPr>
        <w:pStyle w:val="Fuzeile"/>
        <w:tabs>
          <w:tab w:val="clear" w:pos="9072"/>
        </w:tabs>
      </w:pPr>
      <w:r>
        <w:t>Volumen von Hohlzylindern</w:t>
      </w:r>
    </w:p>
    <w:p w:rsidR="004D6AC8" w:rsidRPr="00925F3C" w:rsidRDefault="004D6AC8" w:rsidP="004D6AC8">
      <w:pPr>
        <w:pStyle w:val="Fuzeile"/>
        <w:tabs>
          <w:tab w:val="clear" w:pos="9072"/>
        </w:tabs>
        <w:rPr>
          <w:b/>
          <w:color w:val="FF0000"/>
        </w:rPr>
      </w:pPr>
      <w:r w:rsidRPr="004D6AC8">
        <w:rPr>
          <w:position w:val="-32"/>
        </w:rPr>
        <w:object w:dxaOrig="1380" w:dyaOrig="740">
          <v:shape id="_x0000_i1029" type="#_x0000_t75" style="width:69pt;height:36.75pt" o:ole="">
            <v:imagedata r:id="rId17" o:title=""/>
          </v:shape>
          <o:OLEObject Type="Embed" ProgID="Equation.DSMT4" ShapeID="_x0000_i1029" DrawAspect="Content" ObjectID="_1548569741" r:id="rId18"/>
        </w:object>
      </w:r>
    </w:p>
    <w:p w:rsidR="004D6AC8" w:rsidRDefault="004D6AC8" w:rsidP="004D6AC8">
      <w:pPr>
        <w:pStyle w:val="Fuzeile"/>
        <w:tabs>
          <w:tab w:val="clear" w:pos="9072"/>
        </w:tabs>
      </w:pPr>
    </w:p>
    <w:p w:rsidR="004D6AC8" w:rsidRDefault="004D6AC8" w:rsidP="004D6AC8">
      <w:pPr>
        <w:pStyle w:val="Fuzeile"/>
        <w:tabs>
          <w:tab w:val="clear" w:pos="9072"/>
        </w:tabs>
      </w:pPr>
      <w:r>
        <w:t>Oberfläche von Hohlzylindern</w:t>
      </w:r>
    </w:p>
    <w:p w:rsidR="004D6AC8" w:rsidRPr="00925F3C" w:rsidRDefault="004D6AC8" w:rsidP="004D6AC8">
      <w:pPr>
        <w:pStyle w:val="Fuzeile"/>
        <w:tabs>
          <w:tab w:val="clear" w:pos="9072"/>
        </w:tabs>
        <w:rPr>
          <w:b/>
          <w:color w:val="FF0000"/>
        </w:rPr>
      </w:pPr>
      <w:r w:rsidRPr="004D6AC8">
        <w:rPr>
          <w:position w:val="-58"/>
        </w:rPr>
        <w:object w:dxaOrig="2820" w:dyaOrig="1180">
          <v:shape id="_x0000_i1030" type="#_x0000_t75" style="width:141pt;height:59.25pt" o:ole="">
            <v:imagedata r:id="rId19" o:title=""/>
          </v:shape>
          <o:OLEObject Type="Embed" ProgID="Equation.DSMT4" ShapeID="_x0000_i1030" DrawAspect="Content" ObjectID="_1548569742" r:id="rId20"/>
        </w:object>
      </w:r>
    </w:p>
    <w:p w:rsidR="004D6AC8" w:rsidRDefault="004D6AC8" w:rsidP="004D6AC8">
      <w:pPr>
        <w:pStyle w:val="Fuzeile"/>
        <w:tabs>
          <w:tab w:val="clear" w:pos="9072"/>
        </w:tabs>
      </w:pPr>
    </w:p>
    <w:sectPr w:rsidR="004D6AC8" w:rsidSect="00626D2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0914090"/>
    <w:multiLevelType w:val="hybridMultilevel"/>
    <w:tmpl w:val="80B8994A"/>
    <w:lvl w:ilvl="0" w:tplc="4D3C4B20">
      <w:numFmt w:val="bullet"/>
      <w:lvlText w:val="-"/>
      <w:lvlJc w:val="left"/>
      <w:pPr>
        <w:ind w:left="98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C54CA5"/>
    <w:multiLevelType w:val="hybridMultilevel"/>
    <w:tmpl w:val="2A7642AE"/>
    <w:lvl w:ilvl="0" w:tplc="6DB89528">
      <w:start w:val="3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9"/>
  </w:num>
  <w:num w:numId="21">
    <w:abstractNumId w:val="18"/>
  </w:num>
  <w:num w:numId="22">
    <w:abstractNumId w:val="16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1B3C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36EFC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AF3"/>
    <w:rsid w:val="001D5C75"/>
    <w:rsid w:val="001D620D"/>
    <w:rsid w:val="001E07F6"/>
    <w:rsid w:val="001E088D"/>
    <w:rsid w:val="001E10F0"/>
    <w:rsid w:val="001E179D"/>
    <w:rsid w:val="001E1EF5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27D4B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1C64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FB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383"/>
    <w:rsid w:val="0037098C"/>
    <w:rsid w:val="00370D59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3728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2DE7"/>
    <w:rsid w:val="004D3076"/>
    <w:rsid w:val="004D3DB8"/>
    <w:rsid w:val="004D3FE3"/>
    <w:rsid w:val="004D41E6"/>
    <w:rsid w:val="004D57D8"/>
    <w:rsid w:val="004D6AC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6EC7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6D24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47E93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326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54F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18B4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9C0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1153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732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669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58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E7566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401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A2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8AB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2FDF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A66"/>
    <w:rsid w:val="00CA4CFA"/>
    <w:rsid w:val="00CA557E"/>
    <w:rsid w:val="00CA5644"/>
    <w:rsid w:val="00CA6264"/>
    <w:rsid w:val="00CA6FE7"/>
    <w:rsid w:val="00CA7540"/>
    <w:rsid w:val="00CB0DDA"/>
    <w:rsid w:val="00CB1FC1"/>
    <w:rsid w:val="00CB3DDE"/>
    <w:rsid w:val="00CB5B9A"/>
    <w:rsid w:val="00CB6FCB"/>
    <w:rsid w:val="00CC0827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0FB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37F2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6E80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1CEA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76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427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1E1EF5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1E1EF5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rsid w:val="006B554F"/>
    <w:pPr>
      <w:ind w:left="794" w:hanging="794"/>
    </w:pPr>
    <w:rPr>
      <w:rFonts w:ascii="Times New Roman" w:hAnsi="Times New Roman"/>
      <w:b/>
      <w:color w:val="FF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45781-346E-446D-9D7F-3ECFD07B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2017-02-14T08:19:00Z</dcterms:created>
  <dcterms:modified xsi:type="dcterms:W3CDTF">2017-02-14T08:19:00Z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