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F5" w:rsidRDefault="003D5425" w:rsidP="003D5425">
      <w:pPr>
        <w:pStyle w:val="berschrift2"/>
        <w:numPr>
          <w:ilvl w:val="0"/>
          <w:numId w:val="0"/>
        </w:numPr>
      </w:pPr>
      <w:bookmarkStart w:id="0" w:name="_Toc289805643"/>
      <w:r>
        <w:t xml:space="preserve">1.5. </w:t>
      </w:r>
      <w:r w:rsidR="004201F5">
        <w:t>Normalverteilungen</w:t>
      </w:r>
      <w:bookmarkEnd w:id="0"/>
    </w:p>
    <w:p w:rsidR="004201F5" w:rsidRDefault="004201F5" w:rsidP="004201F5"/>
    <w:p w:rsidR="004201F5" w:rsidRDefault="003D5425" w:rsidP="003D5425">
      <w:pPr>
        <w:pStyle w:val="berschrift3"/>
        <w:numPr>
          <w:ilvl w:val="0"/>
          <w:numId w:val="0"/>
        </w:numPr>
      </w:pPr>
      <w:bookmarkStart w:id="1" w:name="_Toc289805644"/>
      <w:r>
        <w:t xml:space="preserve">1.5.1. </w:t>
      </w:r>
      <w:r w:rsidR="004201F5">
        <w:t>Standardisierung von Binomialverteilungen</w:t>
      </w:r>
      <w:bookmarkEnd w:id="1"/>
    </w:p>
    <w:p w:rsidR="004201F5" w:rsidRDefault="004201F5" w:rsidP="004201F5"/>
    <w:p w:rsidR="004201F5" w:rsidRDefault="004201F5" w:rsidP="004201F5">
      <w:r>
        <w:t>Die Abbildungen zeigen Histogramme zu Binomialverteilungen mit p = 0,5.</w:t>
      </w:r>
    </w:p>
    <w:p w:rsidR="004201F5" w:rsidRDefault="004201F5" w:rsidP="004201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1166495</wp:posOffset>
                </wp:positionV>
                <wp:extent cx="619125" cy="35242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F5" w:rsidRDefault="004201F5" w:rsidP="004201F5">
                            <w:r>
                              <w:t>n 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36.6pt;margin-top:91.85pt;width:48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G+tAIAALg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" filled="f" stroked="f">
                <v:textbox>
                  <w:txbxContent>
                    <w:p w:rsidR="004201F5" w:rsidRDefault="004201F5" w:rsidP="004201F5">
                      <w:r>
                        <w:t>n = 20</w:t>
                      </w:r>
                    </w:p>
                  </w:txbxContent>
                </v:textbox>
              </v:shape>
            </w:pict>
          </mc:Fallback>
        </mc:AlternateContent>
      </w:r>
      <w:r w:rsidR="003D5425">
        <w:object w:dxaOrig="16415" w:dyaOrig="11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07pt" o:ole="">
            <v:imagedata r:id="rId6" o:title=""/>
          </v:shape>
          <o:OLEObject Type="Embed" ProgID="Excel.Sheet.8" ShapeID="_x0000_i1025" DrawAspect="Content" ObjectID="_1603720749" r:id="rId7"/>
        </w:object>
      </w:r>
    </w:p>
    <w:p w:rsidR="003D5425" w:rsidRDefault="004201F5" w:rsidP="004201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1131570</wp:posOffset>
                </wp:positionV>
                <wp:extent cx="619125" cy="352425"/>
                <wp:effectExtent l="0" t="635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F5" w:rsidRDefault="004201F5" w:rsidP="004201F5">
                            <w:r>
                              <w:t>n =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244.1pt;margin-top:89.1pt;width:48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COtw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" filled="f" stroked="f">
                <v:textbox>
                  <w:txbxContent>
                    <w:p w:rsidR="004201F5" w:rsidRDefault="004201F5" w:rsidP="004201F5">
                      <w:r>
                        <w:t>n = 50</w:t>
                      </w:r>
                    </w:p>
                  </w:txbxContent>
                </v:textbox>
              </v:shape>
            </w:pict>
          </mc:Fallback>
        </mc:AlternateContent>
      </w:r>
      <w:r w:rsidR="003D5425">
        <w:object w:dxaOrig="16415" w:dyaOrig="11487">
          <v:shape id="_x0000_i1026" type="#_x0000_t75" style="width:295.5pt;height:207pt" o:ole="">
            <v:imagedata r:id="rId8" o:title=""/>
          </v:shape>
          <o:OLEObject Type="Embed" ProgID="Excel.Sheet.8" ShapeID="_x0000_i1026" DrawAspect="Content" ObjectID="_1603720750" r:id="rId9"/>
        </w:object>
      </w:r>
    </w:p>
    <w:p w:rsidR="00301965" w:rsidRPr="00301965" w:rsidRDefault="003D5425" w:rsidP="0084464A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675640</wp:posOffset>
                </wp:positionV>
                <wp:extent cx="828675" cy="352425"/>
                <wp:effectExtent l="0" t="0" r="0" b="190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F5" w:rsidRDefault="004201F5" w:rsidP="004201F5">
                            <w:r>
                              <w:t>n =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238.85pt;margin-top:53.2pt;width:65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SuwIAAL8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" filled="f" stroked="f">
                <v:textbox>
                  <w:txbxContent>
                    <w:p w:rsidR="004201F5" w:rsidRDefault="004201F5" w:rsidP="004201F5">
                      <w:r>
                        <w:t>n = 100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6415" w:dyaOrig="11487">
          <v:shape id="_x0000_i1027" type="#_x0000_t75" style="width:295.5pt;height:207pt" o:ole="">
            <v:imagedata r:id="rId10" o:title=""/>
          </v:shape>
          <o:OLEObject Type="Embed" ProgID="Excel.Sheet.8" ShapeID="_x0000_i1027" DrawAspect="Content" ObjectID="_1603720751" r:id="rId11"/>
        </w:object>
      </w:r>
    </w:p>
    <w:p w:rsidR="00301965" w:rsidRDefault="00301965" w:rsidP="003D5425">
      <w:pPr>
        <w:rPr>
          <w:sz w:val="20"/>
        </w:rPr>
      </w:pPr>
    </w:p>
    <w:p w:rsidR="00301965" w:rsidRDefault="00301965" w:rsidP="003D5425">
      <w:pPr>
        <w:rPr>
          <w:sz w:val="20"/>
        </w:rPr>
      </w:pPr>
    </w:p>
    <w:p w:rsidR="004201F5" w:rsidRDefault="004201F5" w:rsidP="003D5425">
      <w:r>
        <w:lastRenderedPageBreak/>
        <w:t>Es zeigt sich:</w:t>
      </w:r>
    </w:p>
    <w:p w:rsidR="004201F5" w:rsidRDefault="004201F5" w:rsidP="004201F5">
      <w:pPr>
        <w:numPr>
          <w:ilvl w:val="0"/>
          <w:numId w:val="21"/>
        </w:numPr>
      </w:pPr>
      <w:r>
        <w:t>Mit zunehmendem n werden die Histogramme breiter und flacher. Die Einzelwahrscheinlichkeiten werden geringer.</w:t>
      </w:r>
    </w:p>
    <w:p w:rsidR="004201F5" w:rsidRDefault="004201F5" w:rsidP="004201F5">
      <w:pPr>
        <w:numPr>
          <w:ilvl w:val="0"/>
          <w:numId w:val="21"/>
        </w:numPr>
      </w:pPr>
      <w:r>
        <w:t>Mit zunehmendem n werden die Histogramme symmetrischer.</w:t>
      </w:r>
    </w:p>
    <w:p w:rsidR="004201F5" w:rsidRDefault="004201F5" w:rsidP="004201F5"/>
    <w:p w:rsidR="004201F5" w:rsidRDefault="004201F5" w:rsidP="004201F5">
      <w:r>
        <w:t>Damit sind diese schlecht vergleichbar. Dem kann man durch eine STANDARDISIERUNG abhelfen.</w:t>
      </w:r>
    </w:p>
    <w:p w:rsidR="004201F5" w:rsidRDefault="004201F5" w:rsidP="004201F5"/>
    <w:p w:rsidR="003D5425" w:rsidRDefault="004201F5" w:rsidP="004201F5">
      <w:pPr>
        <w:tabs>
          <w:tab w:val="left" w:pos="5640"/>
        </w:tabs>
      </w:pPr>
      <w:r>
        <w:t xml:space="preserve">Beispiel: </w:t>
      </w:r>
    </w:p>
    <w:p w:rsidR="004201F5" w:rsidRDefault="004201F5" w:rsidP="004201F5">
      <w:pPr>
        <w:tabs>
          <w:tab w:val="left" w:pos="5640"/>
        </w:tabs>
      </w:pPr>
      <w:r>
        <w:t xml:space="preserve">Standardisierung der Verteilung </w:t>
      </w:r>
      <w:r w:rsidRPr="007C4002">
        <w:rPr>
          <w:position w:val="-14"/>
        </w:rPr>
        <w:object w:dxaOrig="580" w:dyaOrig="380">
          <v:shape id="_x0000_i1028" type="#_x0000_t75" style="width:29.25pt;height:18.75pt" o:ole="">
            <v:imagedata r:id="rId12" o:title=""/>
          </v:shape>
          <o:OLEObject Type="Embed" ProgID="Equation.DSMT4" ShapeID="_x0000_i1028" DrawAspect="Content" ObjectID="_1603720752" r:id="rId13"/>
        </w:object>
      </w:r>
      <w:r>
        <w:t xml:space="preserve">: (n = 50; p = 0,5; </w:t>
      </w:r>
      <w:r w:rsidR="003D5425">
        <w:rPr>
          <w:rFonts w:cstheme="minorHAnsi"/>
        </w:rPr>
        <w:t>µ</w:t>
      </w:r>
      <w:r>
        <w:t xml:space="preserve"> = 25, </w:t>
      </w:r>
      <w:r w:rsidR="003D5425">
        <w:rPr>
          <w:rFonts w:cstheme="minorHAnsi"/>
        </w:rPr>
        <w:t>σ</w:t>
      </w:r>
      <w:r>
        <w:t xml:space="preserve"> = 3,54)</w:t>
      </w:r>
    </w:p>
    <w:p w:rsidR="004201F5" w:rsidRDefault="004201F5" w:rsidP="004201F5">
      <w:pPr>
        <w:tabs>
          <w:tab w:val="left" w:pos="5640"/>
        </w:tabs>
      </w:pPr>
      <w:r>
        <w:rPr>
          <w:noProof/>
        </w:rPr>
        <w:drawing>
          <wp:inline distT="0" distB="0" distL="0" distR="0" wp14:anchorId="3E656FF4" wp14:editId="5484B430">
            <wp:extent cx="4320000" cy="1981192"/>
            <wp:effectExtent l="0" t="0" r="4445" b="635"/>
            <wp:docPr id="145" name="Bild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8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F5" w:rsidRDefault="004201F5" w:rsidP="004201F5">
      <w:pPr>
        <w:tabs>
          <w:tab w:val="left" w:pos="5640"/>
        </w:tabs>
      </w:pPr>
    </w:p>
    <w:p w:rsidR="004201F5" w:rsidRDefault="004201F5" w:rsidP="004201F5">
      <w:pPr>
        <w:tabs>
          <w:tab w:val="left" w:pos="5640"/>
        </w:tabs>
      </w:pPr>
      <w:r>
        <w:t xml:space="preserve">Schritt 1: Verschiebe das Diagramm um </w:t>
      </w:r>
      <w:r w:rsidR="003D5425">
        <w:rPr>
          <w:rFonts w:cstheme="minorHAnsi"/>
        </w:rPr>
        <w:t>µ</w:t>
      </w:r>
      <w:r>
        <w:t xml:space="preserve"> Einheiten nach links</w:t>
      </w:r>
    </w:p>
    <w:p w:rsidR="004201F5" w:rsidRDefault="004201F5" w:rsidP="004201F5">
      <w:pPr>
        <w:tabs>
          <w:tab w:val="left" w:pos="5640"/>
        </w:tabs>
      </w:pPr>
      <w:r>
        <w:rPr>
          <w:noProof/>
        </w:rPr>
        <w:drawing>
          <wp:inline distT="0" distB="0" distL="0" distR="0" wp14:anchorId="02017965" wp14:editId="0D9AD702">
            <wp:extent cx="4320000" cy="1981192"/>
            <wp:effectExtent l="0" t="0" r="4445" b="635"/>
            <wp:docPr id="146" name="Bild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8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F5" w:rsidRDefault="004201F5" w:rsidP="004201F5">
      <w:pPr>
        <w:tabs>
          <w:tab w:val="left" w:pos="5640"/>
        </w:tabs>
      </w:pPr>
    </w:p>
    <w:p w:rsidR="004201F5" w:rsidRDefault="004201F5" w:rsidP="004201F5">
      <w:pPr>
        <w:tabs>
          <w:tab w:val="left" w:pos="5640"/>
        </w:tabs>
      </w:pPr>
      <w:r>
        <w:t xml:space="preserve">Schritt 2: Wähle die Breite der Rechtecke gleich </w:t>
      </w:r>
      <w:r w:rsidR="003D5425" w:rsidRPr="003D5425">
        <w:rPr>
          <w:position w:val="-22"/>
        </w:rPr>
        <w:object w:dxaOrig="240" w:dyaOrig="580">
          <v:shape id="_x0000_i1029" type="#_x0000_t75" style="width:12pt;height:28.5pt" o:ole="">
            <v:imagedata r:id="rId16" o:title=""/>
          </v:shape>
          <o:OLEObject Type="Embed" ProgID="Equation.DSMT4" ShapeID="_x0000_i1029" DrawAspect="Content" ObjectID="_1603720753" r:id="rId17"/>
        </w:object>
      </w:r>
    </w:p>
    <w:p w:rsidR="00301965" w:rsidRPr="00301965" w:rsidRDefault="004201F5" w:rsidP="004201F5">
      <w:pPr>
        <w:tabs>
          <w:tab w:val="left" w:pos="5640"/>
        </w:tabs>
        <w:rPr>
          <w:sz w:val="20"/>
        </w:rPr>
      </w:pPr>
      <w:r>
        <w:rPr>
          <w:noProof/>
        </w:rPr>
        <w:drawing>
          <wp:inline distT="0" distB="0" distL="0" distR="0" wp14:anchorId="08372DDE" wp14:editId="47E7425D">
            <wp:extent cx="4320000" cy="1981192"/>
            <wp:effectExtent l="0" t="0" r="4445" b="635"/>
            <wp:docPr id="148" name="Bild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8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0B" w:rsidRDefault="0011490B" w:rsidP="004201F5">
      <w:pPr>
        <w:tabs>
          <w:tab w:val="left" w:pos="5640"/>
        </w:tabs>
      </w:pPr>
    </w:p>
    <w:p w:rsidR="0011490B" w:rsidRDefault="0011490B" w:rsidP="004201F5">
      <w:pPr>
        <w:tabs>
          <w:tab w:val="left" w:pos="5640"/>
        </w:tabs>
      </w:pPr>
    </w:p>
    <w:p w:rsidR="0011490B" w:rsidRDefault="0011490B" w:rsidP="004201F5">
      <w:pPr>
        <w:tabs>
          <w:tab w:val="left" w:pos="5640"/>
        </w:tabs>
      </w:pPr>
    </w:p>
    <w:p w:rsidR="004201F5" w:rsidRDefault="004201F5" w:rsidP="004201F5">
      <w:pPr>
        <w:tabs>
          <w:tab w:val="left" w:pos="5640"/>
        </w:tabs>
      </w:pPr>
      <w:r>
        <w:lastRenderedPageBreak/>
        <w:t xml:space="preserve">Schritt 3: Dehne die Rechtecke um den Faktor </w:t>
      </w:r>
      <w:r w:rsidR="003D5425">
        <w:rPr>
          <w:rFonts w:cstheme="minorHAnsi"/>
        </w:rPr>
        <w:t>σ</w:t>
      </w:r>
    </w:p>
    <w:p w:rsidR="004201F5" w:rsidRDefault="004201F5" w:rsidP="004201F5">
      <w:pPr>
        <w:tabs>
          <w:tab w:val="left" w:pos="5640"/>
        </w:tabs>
      </w:pPr>
      <w:r>
        <w:rPr>
          <w:noProof/>
        </w:rPr>
        <w:drawing>
          <wp:inline distT="0" distB="0" distL="0" distR="0" wp14:anchorId="0DE9C3C7" wp14:editId="5C086289">
            <wp:extent cx="4320000" cy="1981192"/>
            <wp:effectExtent l="0" t="0" r="4445" b="635"/>
            <wp:docPr id="149" name="Bild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98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F5" w:rsidRDefault="004201F5" w:rsidP="004201F5">
      <w:pPr>
        <w:tabs>
          <w:tab w:val="left" w:pos="5640"/>
        </w:tabs>
      </w:pPr>
      <w:r>
        <w:t>Standardisierte Binomialverteilungen (p = 0,5) für n = 20, n = 50 und n = 100:</w:t>
      </w:r>
    </w:p>
    <w:p w:rsidR="004201F5" w:rsidRDefault="004201F5" w:rsidP="004201F5">
      <w:pPr>
        <w:tabs>
          <w:tab w:val="left" w:pos="5640"/>
        </w:tabs>
      </w:pPr>
    </w:p>
    <w:p w:rsidR="004201F5" w:rsidRDefault="004201F5" w:rsidP="004201F5">
      <w:r>
        <w:rPr>
          <w:noProof/>
        </w:rPr>
        <w:drawing>
          <wp:inline distT="0" distB="0" distL="0" distR="0" wp14:anchorId="48B91948" wp14:editId="000BAE23">
            <wp:extent cx="1476000" cy="1757144"/>
            <wp:effectExtent l="0" t="0" r="0" b="0"/>
            <wp:docPr id="150" name="Bild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1356" r="4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7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4130F" wp14:editId="11FC15F2">
            <wp:extent cx="1476000" cy="1749330"/>
            <wp:effectExtent l="0" t="0" r="0" b="3810"/>
            <wp:docPr id="151" name="Bild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1529" r="3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74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2B0D2" wp14:editId="29A61BD7">
            <wp:extent cx="1476000" cy="1764949"/>
            <wp:effectExtent l="0" t="0" r="0" b="6985"/>
            <wp:docPr id="152" name="Bild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1529" r="4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76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F5" w:rsidRDefault="004201F5" w:rsidP="003E36BE">
      <w:pPr>
        <w:jc w:val="both"/>
      </w:pPr>
      <w:r>
        <w:t xml:space="preserve">Man bezeichnet den Übergang von der Zufallsgröße X zur Zufallsgröße Z mit </w:t>
      </w:r>
      <w:r w:rsidR="003E36BE" w:rsidRPr="003E36BE">
        <w:rPr>
          <w:position w:val="-22"/>
        </w:rPr>
        <w:object w:dxaOrig="840" w:dyaOrig="580">
          <v:shape id="_x0000_i1030" type="#_x0000_t75" style="width:42pt;height:28.5pt" o:ole="">
            <v:imagedata r:id="rId23" o:title=""/>
          </v:shape>
          <o:OLEObject Type="Embed" ProgID="Equation.DSMT4" ShapeID="_x0000_i1030" DrawAspect="Content" ObjectID="_1603720754" r:id="rId24"/>
        </w:object>
      </w:r>
      <w:r>
        <w:t xml:space="preserve"> als Standardisieren. Die standardisierte Zufallsgröße Z hat den Erwartungswert </w:t>
      </w:r>
      <w:r w:rsidR="003E36BE" w:rsidRPr="007654AD">
        <w:rPr>
          <w:position w:val="-10"/>
        </w:rPr>
        <w:object w:dxaOrig="600" w:dyaOrig="320">
          <v:shape id="_x0000_i1031" type="#_x0000_t75" style="width:30pt;height:16.5pt" o:ole="">
            <v:imagedata r:id="rId25" o:title=""/>
          </v:shape>
          <o:OLEObject Type="Embed" ProgID="Equation.DSMT4" ShapeID="_x0000_i1031" DrawAspect="Content" ObjectID="_1603720755" r:id="rId26"/>
        </w:object>
      </w:r>
      <w:r>
        <w:t xml:space="preserve"> und die Standardabweichung </w:t>
      </w:r>
      <w:r w:rsidR="003E36BE" w:rsidRPr="007654AD">
        <w:rPr>
          <w:position w:val="-10"/>
        </w:rPr>
        <w:object w:dxaOrig="600" w:dyaOrig="320">
          <v:shape id="_x0000_i1032" type="#_x0000_t75" style="width:30pt;height:16.5pt" o:ole="">
            <v:imagedata r:id="rId27" o:title=""/>
          </v:shape>
          <o:OLEObject Type="Embed" ProgID="Equation.DSMT4" ShapeID="_x0000_i1032" DrawAspect="Content" ObjectID="_1603720756" r:id="rId28"/>
        </w:object>
      </w:r>
      <w:r>
        <w:t>.</w:t>
      </w:r>
    </w:p>
    <w:p w:rsidR="0092782C" w:rsidRPr="0092782C" w:rsidRDefault="0092782C" w:rsidP="004F2BB4">
      <w:pPr>
        <w:rPr>
          <w:color w:val="00B0F0"/>
          <w:sz w:val="20"/>
        </w:rPr>
      </w:pPr>
      <w:bookmarkStart w:id="2" w:name="_GoBack"/>
      <w:bookmarkEnd w:id="2"/>
    </w:p>
    <w:sectPr w:rsidR="0092782C" w:rsidRPr="0092782C" w:rsidSect="0011490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90B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2BF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3588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6944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95CD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oleObject" Target="embeddings/Microsoft_Excel_97-2003_Worksheet.xls"/><Relationship Id="rId12" Type="http://schemas.openxmlformats.org/officeDocument/2006/relationships/image" Target="media/image4.wmf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Worksheet2.xls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3.wmf"/><Relationship Id="rId28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5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7BD2-6295-477B-93D3-D7F8EEC6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2016-11-15T19:26:00Z</cp:lastPrinted>
  <dcterms:created xsi:type="dcterms:W3CDTF">2018-11-14T16:13:00Z</dcterms:created>
  <dcterms:modified xsi:type="dcterms:W3CDTF">2018-11-14T16:13:00Z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