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FD" w:rsidRDefault="005C30FD" w:rsidP="005C30FD">
      <w:pPr>
        <w:pStyle w:val="berschrift3"/>
        <w:numPr>
          <w:ilvl w:val="0"/>
          <w:numId w:val="0"/>
        </w:numPr>
      </w:pPr>
      <w:bookmarkStart w:id="0" w:name="_Toc246159920"/>
      <w:bookmarkStart w:id="1" w:name="_Toc274073330"/>
      <w:bookmarkStart w:id="2" w:name="_Toc289805616"/>
      <w:r>
        <w:t>1.1.3. Listen und Diagramme</w:t>
      </w:r>
      <w:bookmarkEnd w:id="0"/>
      <w:bookmarkEnd w:id="1"/>
      <w:bookmarkEnd w:id="2"/>
    </w:p>
    <w:p w:rsidR="005C30FD" w:rsidRDefault="005C30FD" w:rsidP="005C30FD"/>
    <w:p w:rsidR="005C30FD" w:rsidRDefault="005C30FD" w:rsidP="005C30FD">
      <w:pPr>
        <w:jc w:val="both"/>
      </w:pPr>
      <w:r>
        <w:t>Unter 1.1.1. hatten wir uns mit den Zensuren eines Schülers beschäftigt. Das waren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  <w:rPr>
          <w:color w:val="000000"/>
        </w:rPr>
      </w:pPr>
      <w:r>
        <w:rPr>
          <w:color w:val="000000"/>
        </w:rPr>
        <w:tab/>
        <w:t>1. Halbjahr:</w:t>
      </w:r>
      <w:r>
        <w:rPr>
          <w:color w:val="000000"/>
        </w:rPr>
        <w:tab/>
      </w:r>
      <w:r>
        <w:rPr>
          <w:color w:val="000000"/>
        </w:rPr>
        <w:tab/>
        <w:t>3</w:t>
      </w:r>
      <w:r>
        <w:rPr>
          <w:color w:val="000000"/>
        </w:rPr>
        <w:tab/>
        <w:t>4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6</w:t>
      </w:r>
      <w:r>
        <w:rPr>
          <w:color w:val="000000"/>
        </w:rPr>
        <w:tab/>
        <w:t>5</w:t>
      </w:r>
      <w:r>
        <w:rPr>
          <w:color w:val="000000"/>
        </w:rPr>
        <w:tab/>
        <w:t>5</w:t>
      </w:r>
    </w:p>
    <w:p w:rsidR="005C30FD" w:rsidRDefault="005C30FD" w:rsidP="005C30FD">
      <w:pPr>
        <w:jc w:val="both"/>
        <w:rPr>
          <w:color w:val="000000"/>
        </w:rPr>
      </w:pPr>
      <w:r>
        <w:rPr>
          <w:color w:val="000000"/>
        </w:rPr>
        <w:tab/>
        <w:t>2. Halbjahr:</w:t>
      </w:r>
      <w:r>
        <w:rPr>
          <w:color w:val="000000"/>
        </w:rPr>
        <w:tab/>
      </w:r>
      <w:r>
        <w:rPr>
          <w:color w:val="000000"/>
        </w:rPr>
        <w:tab/>
        <w:t>4</w:t>
      </w:r>
      <w:r>
        <w:rPr>
          <w:color w:val="000000"/>
        </w:rPr>
        <w:tab/>
        <w:t>3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  <w:r>
        <w:rPr>
          <w:color w:val="000000"/>
        </w:rPr>
        <w:tab/>
        <w:t>1</w:t>
      </w:r>
      <w:r>
        <w:rPr>
          <w:color w:val="000000"/>
        </w:rPr>
        <w:tab/>
        <w:t>1</w:t>
      </w:r>
      <w:r>
        <w:rPr>
          <w:color w:val="000000"/>
        </w:rPr>
        <w:tab/>
        <w:t>2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 xml:space="preserve">Hier werden die Ergebnisse in der Reihenfolge ihres Eintretens aufgeschrieben. Eine solche Darstellung heißt eine </w:t>
      </w:r>
      <w:r>
        <w:rPr>
          <w:b/>
        </w:rPr>
        <w:t>URLISTE</w:t>
      </w:r>
      <w:r>
        <w:t>.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 xml:space="preserve">Bei Verkehrszählungen ist es üblich, </w:t>
      </w:r>
      <w:r>
        <w:rPr>
          <w:b/>
        </w:rPr>
        <w:t>STRICHLISTEN</w:t>
      </w:r>
      <w:r>
        <w:t xml:space="preserve"> z.B. für PKW und LKW anzufertigen. Für unser Beispiel würde eine Strichliste so aussehen: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||||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|||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||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||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||</w:t>
      </w:r>
    </w:p>
    <w:p w:rsidR="005C30FD" w:rsidRDefault="005C30FD" w:rsidP="005C30FD">
      <w:pPr>
        <w:numPr>
          <w:ilvl w:val="0"/>
          <w:numId w:val="24"/>
        </w:numPr>
        <w:jc w:val="both"/>
      </w:pPr>
      <w:r>
        <w:t>|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 xml:space="preserve">Oft trifft man </w:t>
      </w:r>
      <w:r>
        <w:rPr>
          <w:b/>
        </w:rPr>
        <w:t>HÄUFIGKEITSTABELLEN</w:t>
      </w:r>
      <w:r>
        <w:t>.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object w:dxaOrig="5107" w:dyaOrig="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31.5pt" o:ole="" fillcolor="window">
            <v:imagedata r:id="rId6" o:title=""/>
          </v:shape>
          <o:OLEObject Type="Embed" ProgID="Excel.Sheet.8" ShapeID="_x0000_i1025" DrawAspect="Content" ObjectID="_1595936064" r:id="rId7"/>
        </w:objec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 xml:space="preserve">In einer </w:t>
      </w:r>
      <w:r>
        <w:rPr>
          <w:b/>
        </w:rPr>
        <w:t xml:space="preserve">HÄUFIGKEITSVERTEILUNG </w:t>
      </w:r>
      <w:r>
        <w:t>wird den beobachteten Werten die relative Häufigkeit zugeordnet.</w:t>
      </w:r>
    </w:p>
    <w:p w:rsidR="005C30FD" w:rsidRDefault="005C30FD" w:rsidP="005C30FD">
      <w:pPr>
        <w:jc w:val="both"/>
      </w:pPr>
    </w:p>
    <w:bookmarkStart w:id="3" w:name="_MON_1595669762"/>
    <w:bookmarkEnd w:id="3"/>
    <w:p w:rsidR="005C30FD" w:rsidRDefault="006858E2" w:rsidP="005C30FD">
      <w:pPr>
        <w:jc w:val="both"/>
      </w:pPr>
      <w:r>
        <w:object w:dxaOrig="5071" w:dyaOrig="625">
          <v:shape id="_x0000_i1026" type="#_x0000_t75" style="width:254.25pt;height:31.5pt" o:ole="" fillcolor="window">
            <v:imagedata r:id="rId8" o:title=""/>
          </v:shape>
          <o:OLEObject Type="Embed" ProgID="Excel.Sheet.8" ShapeID="_x0000_i1026" DrawAspect="Content" ObjectID="_1595936065" r:id="rId9"/>
        </w:objec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 xml:space="preserve">Häufigkeiten lassen sich in einem </w:t>
      </w:r>
      <w:r w:rsidR="006858E2">
        <w:rPr>
          <w:b/>
        </w:rPr>
        <w:t>DIAGRAMM</w:t>
      </w:r>
      <w:r>
        <w:t xml:space="preserve"> darstellen.</w:t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rPr>
          <w:noProof/>
        </w:rPr>
        <w:drawing>
          <wp:inline distT="0" distB="0" distL="0" distR="0">
            <wp:extent cx="3076575" cy="1914525"/>
            <wp:effectExtent l="0" t="0" r="0" b="0"/>
            <wp:docPr id="6" name="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0FD" w:rsidRDefault="005C30FD" w:rsidP="005C30FD">
      <w:pPr>
        <w:jc w:val="both"/>
      </w:pPr>
    </w:p>
    <w:p w:rsidR="005C30FD" w:rsidRDefault="005C30FD" w:rsidP="005C30FD">
      <w:pPr>
        <w:jc w:val="both"/>
      </w:pPr>
      <w:r>
        <w:t>Je nach Art der Daten und dem Zweck deren Verwendung muss man eine passende Diagrammart auswählen. Dabei eignen sich Kreis- und Blockdiagramme nicht für Erhebungen mit Mehrfachnennungen.</w:t>
      </w:r>
    </w:p>
    <w:p w:rsidR="005C30FD" w:rsidRPr="0017500D" w:rsidRDefault="005C30FD" w:rsidP="005C30FD">
      <w:pPr>
        <w:jc w:val="both"/>
      </w:pPr>
    </w:p>
    <w:p w:rsidR="00293AEF" w:rsidRDefault="00293AEF" w:rsidP="00DD3FEC">
      <w:pPr>
        <w:jc w:val="both"/>
      </w:pPr>
      <w:bookmarkStart w:id="4" w:name="_GoBack"/>
      <w:bookmarkEnd w:id="4"/>
    </w:p>
    <w:sectPr w:rsidR="00293AEF" w:rsidSect="005D240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453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0FF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0BA2"/>
    <w:rsid w:val="00271862"/>
    <w:rsid w:val="002734E6"/>
    <w:rsid w:val="00273B37"/>
    <w:rsid w:val="00273DDB"/>
    <w:rsid w:val="00274DD2"/>
    <w:rsid w:val="0027787F"/>
    <w:rsid w:val="00280E31"/>
    <w:rsid w:val="00283549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40D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58E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9AAD-AB95-454A-BB04-D779CB0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2708333333333869E-2"/>
          <c:y val="1.5151515151515225E-2"/>
          <c:w val="0.94687500000000391"/>
          <c:h val="0.9057239057239054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Tabelle1!$A$2</c:f>
              <c:strCache>
                <c:ptCount val="1"/>
                <c:pt idx="0">
                  <c:v>Anzahl</c:v>
                </c:pt>
              </c:strCache>
            </c:strRef>
          </c:tx>
          <c:spPr>
            <a:solidFill>
              <a:srgbClr val="0000FF"/>
            </a:solidFill>
            <a:ln w="422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Tabelle1!$B$2:$G$2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0-40B1-8851-877BC62D4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971008"/>
        <c:axId val="175120768"/>
        <c:axId val="0"/>
      </c:bar3DChart>
      <c:catAx>
        <c:axId val="1589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17512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120768"/>
        <c:scaling>
          <c:orientation val="minMax"/>
        </c:scaling>
        <c:delete val="0"/>
        <c:axPos val="l"/>
        <c:majorGridlines>
          <c:spPr>
            <a:ln w="10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0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158971008"/>
        <c:crosses val="autoZero"/>
        <c:crossBetween val="between"/>
      </c:valAx>
      <c:spPr>
        <a:noFill/>
        <a:ln w="845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CB2A-190B-4CD0-A915-147CADE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2018-08-16T12:48:00Z</dcterms:created>
  <dcterms:modified xsi:type="dcterms:W3CDTF">2018-08-16T12:48:00Z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