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73FC" w14:textId="77777777" w:rsidR="00A22EC1" w:rsidRDefault="00A22EC1" w:rsidP="00A22EC1">
      <w:pPr>
        <w:pStyle w:val="berschrift3"/>
      </w:pPr>
      <w:bookmarkStart w:id="0" w:name="_Toc283061692"/>
      <w:bookmarkStart w:id="1" w:name="_Toc283061662"/>
      <w:r>
        <w:t>2.9.6. Senkrechte Parallelprojektion</w:t>
      </w:r>
      <w:bookmarkEnd w:id="0"/>
    </w:p>
    <w:p w14:paraId="43705660" w14:textId="77777777" w:rsidR="00A22EC1" w:rsidRDefault="00A22EC1" w:rsidP="00A22EC1"/>
    <w:p w14:paraId="47AE73D2" w14:textId="77777777" w:rsidR="00A22EC1" w:rsidRDefault="00A22EC1" w:rsidP="00A22EC1">
      <w:r>
        <w:t xml:space="preserve">Bei der senkrechten Parallelprojektion wird der Raum </w:t>
      </w:r>
      <w:r w:rsidR="00A11E36">
        <w:sym w:font="Euclid Extra" w:char="F0A1"/>
      </w:r>
      <w:r>
        <w:rPr>
          <w:vertAlign w:val="superscript"/>
        </w:rPr>
        <w:t>3</w:t>
      </w:r>
      <w:r>
        <w:t xml:space="preserve"> in den Raum </w:t>
      </w:r>
      <w:r w:rsidR="00A11E36">
        <w:sym w:font="Euclid Extra" w:char="F0A1"/>
      </w:r>
      <w:r>
        <w:rPr>
          <w:vertAlign w:val="superscript"/>
        </w:rPr>
        <w:t>2</w:t>
      </w:r>
      <w:r>
        <w:t xml:space="preserve"> abgebildet. Dabei erhält man z.B. den Grundriss durch Projektion in die x</w:t>
      </w:r>
      <w:r>
        <w:rPr>
          <w:vertAlign w:val="subscript"/>
        </w:rPr>
        <w:t>1</w:t>
      </w:r>
      <w:r>
        <w:t xml:space="preserve"> – x</w:t>
      </w:r>
      <w:r>
        <w:rPr>
          <w:vertAlign w:val="subscript"/>
        </w:rPr>
        <w:t>2</w:t>
      </w:r>
      <w:r>
        <w:t xml:space="preserve"> – Ebene. Man kann sich überlegen, dass für die Bildpunkte gilt:</w:t>
      </w:r>
    </w:p>
    <w:p w14:paraId="0A9E1C0E" w14:textId="77777777" w:rsidR="00A22EC1" w:rsidRDefault="00A22EC1" w:rsidP="00A22EC1">
      <w:r>
        <w:tab/>
      </w:r>
      <w:r w:rsidRPr="00A22EC1">
        <w:rPr>
          <w:position w:val="-4"/>
        </w:rPr>
        <w:object w:dxaOrig="520" w:dyaOrig="260" w14:anchorId="286B72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2.75pt" o:ole="">
            <v:imagedata r:id="rId6" o:title=""/>
          </v:shape>
          <o:OLEObject Type="Embed" ProgID="Equation.DSMT4" ShapeID="_x0000_i1025" DrawAspect="Content" ObjectID="_1730205559" r:id="rId7"/>
        </w:object>
      </w:r>
      <w:r>
        <w:tab/>
      </w:r>
      <w:r>
        <w:tab/>
      </w:r>
      <w:r w:rsidRPr="00E31583">
        <w:rPr>
          <w:position w:val="-10"/>
        </w:rPr>
        <w:object w:dxaOrig="540" w:dyaOrig="320" w14:anchorId="3D114990">
          <v:shape id="_x0000_i1026" type="#_x0000_t75" style="width:27pt;height:15.75pt" o:ole="">
            <v:imagedata r:id="rId8" o:title=""/>
          </v:shape>
          <o:OLEObject Type="Embed" ProgID="Equation.DSMT4" ShapeID="_x0000_i1026" DrawAspect="Content" ObjectID="_1730205560" r:id="rId9"/>
        </w:object>
      </w:r>
      <w:r>
        <w:tab/>
      </w:r>
      <w:r>
        <w:tab/>
      </w:r>
      <w:r w:rsidRPr="00E31583">
        <w:rPr>
          <w:position w:val="-6"/>
        </w:rPr>
        <w:object w:dxaOrig="520" w:dyaOrig="279" w14:anchorId="5B3FF938">
          <v:shape id="_x0000_i1027" type="#_x0000_t75" style="width:26.25pt;height:14.25pt" o:ole="">
            <v:imagedata r:id="rId10" o:title=""/>
          </v:shape>
          <o:OLEObject Type="Embed" ProgID="Equation.DSMT4" ShapeID="_x0000_i1027" DrawAspect="Content" ObjectID="_1730205561" r:id="rId11"/>
        </w:object>
      </w:r>
    </w:p>
    <w:p w14:paraId="6EA6F39D" w14:textId="77777777" w:rsidR="00A22EC1" w:rsidRDefault="00A22EC1" w:rsidP="00A22EC1">
      <w:r>
        <w:t xml:space="preserve">Es ergibt sich also als Abbildungsmatrix für diesen Fall </w:t>
      </w:r>
      <w:r w:rsidRPr="00A22EC1">
        <w:rPr>
          <w:position w:val="-46"/>
        </w:rPr>
        <w:object w:dxaOrig="1040" w:dyaOrig="1020" w14:anchorId="4048C65D">
          <v:shape id="_x0000_i1028" type="#_x0000_t75" style="width:51.75pt;height:51pt" o:ole="">
            <v:imagedata r:id="rId12" o:title=""/>
          </v:shape>
          <o:OLEObject Type="Embed" ProgID="Equation.DSMT4" ShapeID="_x0000_i1028" DrawAspect="Content" ObjectID="_1730205562" r:id="rId13"/>
        </w:object>
      </w:r>
      <w:r>
        <w:t>.</w:t>
      </w:r>
    </w:p>
    <w:p w14:paraId="15DCC686" w14:textId="77777777" w:rsidR="00A22EC1" w:rsidRDefault="00A22EC1" w:rsidP="00A22EC1"/>
    <w:bookmarkEnd w:id="1"/>
    <w:p w14:paraId="45FE13E3" w14:textId="2FCDDE1A" w:rsidR="006A5F5A" w:rsidRDefault="006A5F5A" w:rsidP="00FA6F68">
      <w:pPr>
        <w:rPr>
          <w:color w:val="000000"/>
          <w:sz w:val="20"/>
        </w:rPr>
      </w:pPr>
    </w:p>
    <w:p w14:paraId="3F4DD830" w14:textId="77777777" w:rsidR="006A5F5A" w:rsidRDefault="006A5F5A" w:rsidP="003A6F17">
      <w:pPr>
        <w:jc w:val="both"/>
        <w:rPr>
          <w:color w:val="000000"/>
          <w:sz w:val="20"/>
        </w:rPr>
      </w:pPr>
    </w:p>
    <w:sectPr w:rsidR="006A5F5A" w:rsidSect="00FA6F6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A793F"/>
    <w:multiLevelType w:val="hybridMultilevel"/>
    <w:tmpl w:val="697C48B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4F6393"/>
    <w:multiLevelType w:val="hybridMultilevel"/>
    <w:tmpl w:val="94A63074"/>
    <w:lvl w:ilvl="0" w:tplc="6D12B8AC">
      <w:numFmt w:val="bullet"/>
      <w:lvlText w:val="-"/>
      <w:lvlJc w:val="left"/>
      <w:pPr>
        <w:tabs>
          <w:tab w:val="num" w:pos="1341"/>
        </w:tabs>
        <w:ind w:left="1341" w:hanging="357"/>
      </w:pPr>
      <w:rPr>
        <w:rFonts w:hint="default"/>
      </w:rPr>
    </w:lvl>
    <w:lvl w:ilvl="1" w:tplc="6D12B8AC">
      <w:numFmt w:val="bullet"/>
      <w:lvlText w:val="-"/>
      <w:lvlJc w:val="left"/>
      <w:pPr>
        <w:tabs>
          <w:tab w:val="num" w:pos="2061"/>
        </w:tabs>
        <w:ind w:left="206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1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374990"/>
    <w:multiLevelType w:val="hybridMultilevel"/>
    <w:tmpl w:val="DBFA995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A04AB"/>
    <w:multiLevelType w:val="hybridMultilevel"/>
    <w:tmpl w:val="03368A2A"/>
    <w:lvl w:ilvl="0" w:tplc="0407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6D12B8AC">
      <w:numFmt w:val="bullet"/>
      <w:lvlText w:val="-"/>
      <w:lvlJc w:val="left"/>
      <w:pPr>
        <w:tabs>
          <w:tab w:val="num" w:pos="1701"/>
        </w:tabs>
        <w:ind w:left="170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8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01064194">
    <w:abstractNumId w:val="22"/>
  </w:num>
  <w:num w:numId="2" w16cid:durableId="1854760595">
    <w:abstractNumId w:val="34"/>
  </w:num>
  <w:num w:numId="3" w16cid:durableId="1213351135">
    <w:abstractNumId w:val="16"/>
  </w:num>
  <w:num w:numId="4" w16cid:durableId="1098908040">
    <w:abstractNumId w:val="9"/>
  </w:num>
  <w:num w:numId="5" w16cid:durableId="1128664863">
    <w:abstractNumId w:val="8"/>
  </w:num>
  <w:num w:numId="6" w16cid:durableId="1336693379">
    <w:abstractNumId w:val="7"/>
  </w:num>
  <w:num w:numId="7" w16cid:durableId="552233610">
    <w:abstractNumId w:val="6"/>
  </w:num>
  <w:num w:numId="8" w16cid:durableId="441731917">
    <w:abstractNumId w:val="5"/>
  </w:num>
  <w:num w:numId="9" w16cid:durableId="416245945">
    <w:abstractNumId w:val="4"/>
  </w:num>
  <w:num w:numId="10" w16cid:durableId="1427657516">
    <w:abstractNumId w:val="3"/>
  </w:num>
  <w:num w:numId="11" w16cid:durableId="109666140">
    <w:abstractNumId w:val="2"/>
  </w:num>
  <w:num w:numId="12" w16cid:durableId="931469142">
    <w:abstractNumId w:val="1"/>
  </w:num>
  <w:num w:numId="13" w16cid:durableId="1903129453">
    <w:abstractNumId w:val="0"/>
  </w:num>
  <w:num w:numId="14" w16cid:durableId="771977469">
    <w:abstractNumId w:val="31"/>
  </w:num>
  <w:num w:numId="15" w16cid:durableId="1857772004">
    <w:abstractNumId w:val="11"/>
  </w:num>
  <w:num w:numId="16" w16cid:durableId="1064066118">
    <w:abstractNumId w:val="15"/>
  </w:num>
  <w:num w:numId="17" w16cid:durableId="1509516850">
    <w:abstractNumId w:val="17"/>
  </w:num>
  <w:num w:numId="18" w16cid:durableId="510804692">
    <w:abstractNumId w:val="19"/>
  </w:num>
  <w:num w:numId="19" w16cid:durableId="1017462218">
    <w:abstractNumId w:val="28"/>
  </w:num>
  <w:num w:numId="20" w16cid:durableId="1002972005">
    <w:abstractNumId w:val="38"/>
  </w:num>
  <w:num w:numId="21" w16cid:durableId="1597984642">
    <w:abstractNumId w:val="18"/>
  </w:num>
  <w:num w:numId="22" w16cid:durableId="733969680">
    <w:abstractNumId w:val="13"/>
  </w:num>
  <w:num w:numId="23" w16cid:durableId="1395397481">
    <w:abstractNumId w:val="24"/>
  </w:num>
  <w:num w:numId="24" w16cid:durableId="485784470">
    <w:abstractNumId w:val="14"/>
  </w:num>
  <w:num w:numId="25" w16cid:durableId="2114545808">
    <w:abstractNumId w:val="10"/>
  </w:num>
  <w:num w:numId="26" w16cid:durableId="927806668">
    <w:abstractNumId w:val="33"/>
  </w:num>
  <w:num w:numId="27" w16cid:durableId="784009471">
    <w:abstractNumId w:val="27"/>
  </w:num>
  <w:num w:numId="28" w16cid:durableId="1110276108">
    <w:abstractNumId w:val="23"/>
  </w:num>
  <w:num w:numId="29" w16cid:durableId="1811511575">
    <w:abstractNumId w:val="32"/>
  </w:num>
  <w:num w:numId="30" w16cid:durableId="1671055106">
    <w:abstractNumId w:val="29"/>
  </w:num>
  <w:num w:numId="31" w16cid:durableId="913903692">
    <w:abstractNumId w:val="21"/>
  </w:num>
  <w:num w:numId="32" w16cid:durableId="1502741352">
    <w:abstractNumId w:val="20"/>
  </w:num>
  <w:num w:numId="33" w16cid:durableId="328676427">
    <w:abstractNumId w:val="26"/>
  </w:num>
  <w:num w:numId="34" w16cid:durableId="1423720007">
    <w:abstractNumId w:val="12"/>
  </w:num>
  <w:num w:numId="35" w16cid:durableId="782725723">
    <w:abstractNumId w:val="35"/>
  </w:num>
  <w:num w:numId="36" w16cid:durableId="1431001990">
    <w:abstractNumId w:val="37"/>
  </w:num>
  <w:num w:numId="37" w16cid:durableId="1159079694">
    <w:abstractNumId w:val="30"/>
  </w:num>
  <w:num w:numId="38" w16cid:durableId="2145657950">
    <w:abstractNumId w:val="25"/>
  </w:num>
  <w:num w:numId="39" w16cid:durableId="126618783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5A71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2B8"/>
    <w:rsid w:val="000929E8"/>
    <w:rsid w:val="00093343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2F62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1D9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6768B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B5F"/>
    <w:rsid w:val="00192C21"/>
    <w:rsid w:val="001935BF"/>
    <w:rsid w:val="00193715"/>
    <w:rsid w:val="00194296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2B7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45DF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04C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2FE"/>
    <w:rsid w:val="002701D6"/>
    <w:rsid w:val="0027028A"/>
    <w:rsid w:val="002734E6"/>
    <w:rsid w:val="00273B37"/>
    <w:rsid w:val="00273DDB"/>
    <w:rsid w:val="00274DD2"/>
    <w:rsid w:val="0027787F"/>
    <w:rsid w:val="00280E31"/>
    <w:rsid w:val="00283195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0301"/>
    <w:rsid w:val="002B11FF"/>
    <w:rsid w:val="002B121B"/>
    <w:rsid w:val="002B1609"/>
    <w:rsid w:val="002B1638"/>
    <w:rsid w:val="002B559D"/>
    <w:rsid w:val="002B59E7"/>
    <w:rsid w:val="002B657F"/>
    <w:rsid w:val="002B6655"/>
    <w:rsid w:val="002B6E1A"/>
    <w:rsid w:val="002B6F14"/>
    <w:rsid w:val="002B7635"/>
    <w:rsid w:val="002C0428"/>
    <w:rsid w:val="002C1653"/>
    <w:rsid w:val="002C2280"/>
    <w:rsid w:val="002C2BA3"/>
    <w:rsid w:val="002C30DC"/>
    <w:rsid w:val="002C393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085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4C0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14E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6A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6D4"/>
    <w:rsid w:val="003B1FA8"/>
    <w:rsid w:val="003B3E1B"/>
    <w:rsid w:val="003B4548"/>
    <w:rsid w:val="003B6B16"/>
    <w:rsid w:val="003C0187"/>
    <w:rsid w:val="003C0AAD"/>
    <w:rsid w:val="003C0F9E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4859"/>
    <w:rsid w:val="003E5A2E"/>
    <w:rsid w:val="003E5BCE"/>
    <w:rsid w:val="003E5E33"/>
    <w:rsid w:val="003F0245"/>
    <w:rsid w:val="003F164B"/>
    <w:rsid w:val="003F1A69"/>
    <w:rsid w:val="003F1D9A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11A5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65A"/>
    <w:rsid w:val="00446B7E"/>
    <w:rsid w:val="00446C08"/>
    <w:rsid w:val="00446CC9"/>
    <w:rsid w:val="0044762D"/>
    <w:rsid w:val="00447C8F"/>
    <w:rsid w:val="00452DB1"/>
    <w:rsid w:val="00452E49"/>
    <w:rsid w:val="00452F61"/>
    <w:rsid w:val="004536BA"/>
    <w:rsid w:val="00453F19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14E2"/>
    <w:rsid w:val="00462AB8"/>
    <w:rsid w:val="00462DFD"/>
    <w:rsid w:val="00463B47"/>
    <w:rsid w:val="00464C52"/>
    <w:rsid w:val="00464F95"/>
    <w:rsid w:val="00465E8F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235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197C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6DC2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0FD6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95B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40B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10EA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43CD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302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57D2C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3EF8"/>
    <w:rsid w:val="006944C2"/>
    <w:rsid w:val="00694F96"/>
    <w:rsid w:val="00696606"/>
    <w:rsid w:val="006974F3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3E90"/>
    <w:rsid w:val="006F7E1D"/>
    <w:rsid w:val="0070031E"/>
    <w:rsid w:val="00701FCA"/>
    <w:rsid w:val="00703563"/>
    <w:rsid w:val="00703BF4"/>
    <w:rsid w:val="00704F2A"/>
    <w:rsid w:val="00706949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8DF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14B8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4A58"/>
    <w:rsid w:val="007B554A"/>
    <w:rsid w:val="007B5EAB"/>
    <w:rsid w:val="007B5EF2"/>
    <w:rsid w:val="007B722E"/>
    <w:rsid w:val="007B7320"/>
    <w:rsid w:val="007C3F39"/>
    <w:rsid w:val="007C42FF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1145"/>
    <w:rsid w:val="007E2870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2735"/>
    <w:rsid w:val="00803ADF"/>
    <w:rsid w:val="00803C9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3FC7"/>
    <w:rsid w:val="00824915"/>
    <w:rsid w:val="00830A6C"/>
    <w:rsid w:val="00831001"/>
    <w:rsid w:val="00834DF0"/>
    <w:rsid w:val="008356B4"/>
    <w:rsid w:val="00837162"/>
    <w:rsid w:val="0084022A"/>
    <w:rsid w:val="00844D35"/>
    <w:rsid w:val="008450D1"/>
    <w:rsid w:val="00845A38"/>
    <w:rsid w:val="00845A61"/>
    <w:rsid w:val="00846B8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3106"/>
    <w:rsid w:val="00874B03"/>
    <w:rsid w:val="00875520"/>
    <w:rsid w:val="00876AC9"/>
    <w:rsid w:val="00876C47"/>
    <w:rsid w:val="00877E3F"/>
    <w:rsid w:val="008804E7"/>
    <w:rsid w:val="00880EDD"/>
    <w:rsid w:val="00882BBB"/>
    <w:rsid w:val="0088495F"/>
    <w:rsid w:val="00884D96"/>
    <w:rsid w:val="00885C5E"/>
    <w:rsid w:val="00887BA4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0DB9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2DF3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132"/>
    <w:rsid w:val="0096179A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2FF1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F94"/>
    <w:rsid w:val="009D6EBB"/>
    <w:rsid w:val="009D744C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830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12B"/>
    <w:rsid w:val="00A064AE"/>
    <w:rsid w:val="00A07E18"/>
    <w:rsid w:val="00A103AF"/>
    <w:rsid w:val="00A104B3"/>
    <w:rsid w:val="00A11E36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2EC1"/>
    <w:rsid w:val="00A24002"/>
    <w:rsid w:val="00A24441"/>
    <w:rsid w:val="00A25134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8B5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3EAF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A7B9A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3AE"/>
    <w:rsid w:val="00AC50AD"/>
    <w:rsid w:val="00AC6637"/>
    <w:rsid w:val="00AC6E47"/>
    <w:rsid w:val="00AD116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4CDA"/>
    <w:rsid w:val="00B65D03"/>
    <w:rsid w:val="00B66802"/>
    <w:rsid w:val="00B7109D"/>
    <w:rsid w:val="00B711F5"/>
    <w:rsid w:val="00B73F51"/>
    <w:rsid w:val="00B76102"/>
    <w:rsid w:val="00B76504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1FA4"/>
    <w:rsid w:val="00BE211B"/>
    <w:rsid w:val="00BE2C42"/>
    <w:rsid w:val="00BE2CE2"/>
    <w:rsid w:val="00BE2E55"/>
    <w:rsid w:val="00BE3476"/>
    <w:rsid w:val="00BE36D2"/>
    <w:rsid w:val="00BE4741"/>
    <w:rsid w:val="00BE518A"/>
    <w:rsid w:val="00BE6B96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3A5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2A1D"/>
    <w:rsid w:val="00C8378F"/>
    <w:rsid w:val="00C8538A"/>
    <w:rsid w:val="00C8586F"/>
    <w:rsid w:val="00C85940"/>
    <w:rsid w:val="00C8619B"/>
    <w:rsid w:val="00C86E6F"/>
    <w:rsid w:val="00C87E85"/>
    <w:rsid w:val="00C914E0"/>
    <w:rsid w:val="00C91A75"/>
    <w:rsid w:val="00C939C8"/>
    <w:rsid w:val="00C93CC9"/>
    <w:rsid w:val="00C94FC0"/>
    <w:rsid w:val="00C95AC9"/>
    <w:rsid w:val="00C963C8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07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524B"/>
    <w:rsid w:val="00E17512"/>
    <w:rsid w:val="00E179DA"/>
    <w:rsid w:val="00E2059B"/>
    <w:rsid w:val="00E20912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25EA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3F9C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3B7"/>
    <w:rsid w:val="00F0283A"/>
    <w:rsid w:val="00F02C57"/>
    <w:rsid w:val="00F038A3"/>
    <w:rsid w:val="00F03E3A"/>
    <w:rsid w:val="00F05431"/>
    <w:rsid w:val="00F058D2"/>
    <w:rsid w:val="00F05C70"/>
    <w:rsid w:val="00F068E3"/>
    <w:rsid w:val="00F06D0B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7C1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68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3455"/>
  <w15:docId w15:val="{70896ECE-A4D2-4105-B140-D4E4891F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935BF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22EC1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35BF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22EC1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985E3-EFF2-44A0-8703-3232C9F3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2022-11-17T14:53:00Z</dcterms:created>
  <dcterms:modified xsi:type="dcterms:W3CDTF">2022-11-17T14:53:00Z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