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F333" w14:textId="77777777" w:rsidR="005C7321" w:rsidRDefault="00E32BF6" w:rsidP="00E32BF6">
      <w:pPr>
        <w:pStyle w:val="berschrift1"/>
        <w:numPr>
          <w:ilvl w:val="0"/>
          <w:numId w:val="0"/>
        </w:numPr>
      </w:pPr>
      <w:bookmarkStart w:id="0" w:name="_Toc472527723"/>
      <w:r w:rsidRPr="00E32BF6">
        <w:rPr>
          <w:b w:val="0"/>
        </w:rPr>
        <w:t>1.</w:t>
      </w:r>
      <w:r>
        <w:t xml:space="preserve"> </w:t>
      </w:r>
      <w:r w:rsidR="005C7321">
        <w:t>Integralrechnung</w:t>
      </w:r>
      <w:bookmarkEnd w:id="0"/>
    </w:p>
    <w:p w14:paraId="30D7BFF9" w14:textId="77777777" w:rsidR="005C7321" w:rsidRDefault="005C7321" w:rsidP="005C7321">
      <w:pPr>
        <w:rPr>
          <w:b/>
          <w:color w:val="FF0000"/>
          <w:u w:val="single"/>
        </w:rPr>
      </w:pPr>
    </w:p>
    <w:p w14:paraId="5FEC8221" w14:textId="77777777" w:rsidR="005C7321" w:rsidRDefault="00E32BF6" w:rsidP="00E32BF6">
      <w:pPr>
        <w:pStyle w:val="berschrift2"/>
        <w:numPr>
          <w:ilvl w:val="0"/>
          <w:numId w:val="0"/>
        </w:numPr>
      </w:pPr>
      <w:bookmarkStart w:id="1" w:name="_Toc472527724"/>
      <w:r w:rsidRPr="00E32BF6">
        <w:rPr>
          <w:b w:val="0"/>
        </w:rPr>
        <w:t>1.</w:t>
      </w:r>
      <w:r>
        <w:t xml:space="preserve">1. </w:t>
      </w:r>
      <w:r w:rsidR="005C7321">
        <w:t xml:space="preserve">Das </w:t>
      </w:r>
      <w:r w:rsidR="00C72141">
        <w:t>un</w:t>
      </w:r>
      <w:r w:rsidR="005C7321">
        <w:t>bestimmte Integral</w:t>
      </w:r>
      <w:bookmarkEnd w:id="1"/>
    </w:p>
    <w:p w14:paraId="0F49218E" w14:textId="77777777" w:rsidR="005C7321" w:rsidRDefault="005C7321" w:rsidP="005C7321">
      <w:pPr>
        <w:rPr>
          <w:b/>
          <w:color w:val="00FF00"/>
          <w:u w:val="single"/>
        </w:rPr>
      </w:pPr>
    </w:p>
    <w:p w14:paraId="0398F7D7" w14:textId="77777777" w:rsidR="005C7321" w:rsidRDefault="00E32BF6" w:rsidP="00E32BF6">
      <w:pPr>
        <w:pStyle w:val="berschrift3"/>
        <w:numPr>
          <w:ilvl w:val="0"/>
          <w:numId w:val="0"/>
        </w:numPr>
      </w:pPr>
      <w:bookmarkStart w:id="2" w:name="_Toc472527725"/>
      <w:r w:rsidRPr="00E32BF6">
        <w:rPr>
          <w:b w:val="0"/>
        </w:rPr>
        <w:t>1.</w:t>
      </w:r>
      <w:r>
        <w:t xml:space="preserve">1.1. </w:t>
      </w:r>
      <w:r w:rsidR="005C7321">
        <w:t>Flächeninhalte unter Kurven</w:t>
      </w:r>
      <w:bookmarkEnd w:id="2"/>
    </w:p>
    <w:p w14:paraId="1E68AFE0" w14:textId="77777777" w:rsidR="005C7321" w:rsidRDefault="005C7321" w:rsidP="005C7321">
      <w:pPr>
        <w:rPr>
          <w:b/>
          <w:color w:val="000000"/>
          <w:u w:val="single"/>
        </w:rPr>
      </w:pPr>
    </w:p>
    <w:p w14:paraId="312FE3C4" w14:textId="77777777" w:rsidR="005C7321" w:rsidRDefault="005C7321" w:rsidP="00E32BF6">
      <w:pPr>
        <w:jc w:val="both"/>
        <w:rPr>
          <w:color w:val="000000"/>
          <w:vertAlign w:val="subscript"/>
        </w:rPr>
      </w:pPr>
      <w:r>
        <w:rPr>
          <w:color w:val="000000"/>
        </w:rPr>
        <w:t>Gegeben ist die Normalparabel f(x) = x</w:t>
      </w:r>
      <w:r>
        <w:rPr>
          <w:color w:val="000000"/>
          <w:vertAlign w:val="superscript"/>
        </w:rPr>
        <w:t>2</w:t>
      </w:r>
      <w:r>
        <w:rPr>
          <w:color w:val="000000"/>
          <w:vertAlign w:val="subscript"/>
        </w:rPr>
        <w:t>.</w:t>
      </w:r>
    </w:p>
    <w:p w14:paraId="1541A34F" w14:textId="77777777" w:rsidR="005C7321" w:rsidRDefault="005C7321" w:rsidP="00E32BF6">
      <w:pPr>
        <w:jc w:val="both"/>
        <w:rPr>
          <w:color w:val="000000"/>
        </w:rPr>
      </w:pPr>
    </w:p>
    <w:p w14:paraId="1222BDA8" w14:textId="77777777" w:rsidR="005C7321" w:rsidRDefault="005C7321" w:rsidP="00E32BF6">
      <w:pPr>
        <w:jc w:val="both"/>
        <w:rPr>
          <w:color w:val="000000"/>
        </w:rPr>
      </w:pPr>
      <w:r>
        <w:rPr>
          <w:color w:val="000000"/>
        </w:rPr>
        <w:t>Welchen Flächeninhalt schließt diese Kurve im Intervall [</w:t>
      </w:r>
      <w:proofErr w:type="gramStart"/>
      <w:r>
        <w:rPr>
          <w:color w:val="000000"/>
        </w:rPr>
        <w:t>0;a</w:t>
      </w:r>
      <w:proofErr w:type="gramEnd"/>
      <w:r>
        <w:rPr>
          <w:color w:val="000000"/>
        </w:rPr>
        <w:t>] mit der x-Achse ein?</w:t>
      </w:r>
    </w:p>
    <w:p w14:paraId="59D29319" w14:textId="77777777" w:rsidR="005C7321" w:rsidRDefault="005C7321" w:rsidP="00E32BF6">
      <w:pPr>
        <w:jc w:val="both"/>
        <w:rPr>
          <w:color w:val="000000"/>
        </w:rPr>
      </w:pPr>
    </w:p>
    <w:p w14:paraId="7E620157" w14:textId="77777777" w:rsidR="005C7321" w:rsidRDefault="005C7321" w:rsidP="00E32BF6">
      <w:pPr>
        <w:jc w:val="both"/>
        <w:rPr>
          <w:color w:val="000000"/>
        </w:rPr>
      </w:pPr>
      <w:r>
        <w:rPr>
          <w:color w:val="000000"/>
        </w:rPr>
        <w:t>Lösungsidee:</w:t>
      </w:r>
    </w:p>
    <w:p w14:paraId="10DA6FF4" w14:textId="77777777" w:rsidR="005C7321" w:rsidRDefault="00D211E4" w:rsidP="00E32BF6">
      <w:pPr>
        <w:numPr>
          <w:ilvl w:val="0"/>
          <w:numId w:val="17"/>
        </w:num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C51842" wp14:editId="30D962EA">
            <wp:simplePos x="0" y="0"/>
            <wp:positionH relativeFrom="column">
              <wp:posOffset>3434080</wp:posOffset>
            </wp:positionH>
            <wp:positionV relativeFrom="paragraph">
              <wp:posOffset>8255</wp:posOffset>
            </wp:positionV>
            <wp:extent cx="2181860" cy="2152650"/>
            <wp:effectExtent l="0" t="0" r="8890" b="0"/>
            <wp:wrapSquare wrapText="bothSides"/>
            <wp:docPr id="464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 t="21770" r="36755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21">
        <w:rPr>
          <w:color w:val="000000"/>
        </w:rPr>
        <w:t>Das Intervall [</w:t>
      </w:r>
      <w:proofErr w:type="gramStart"/>
      <w:r w:rsidR="005C7321">
        <w:rPr>
          <w:color w:val="000000"/>
        </w:rPr>
        <w:t>0;a</w:t>
      </w:r>
      <w:proofErr w:type="gramEnd"/>
      <w:r w:rsidR="005C7321">
        <w:rPr>
          <w:color w:val="000000"/>
        </w:rPr>
        <w:t xml:space="preserve">] wird in n gleich lange Teilintervalle geteilt. Jedes Teilintervall hat die Breite </w:t>
      </w:r>
      <w:r w:rsidR="00E32BF6" w:rsidRPr="00E32BF6">
        <w:rPr>
          <w:color w:val="000000"/>
          <w:position w:val="-22"/>
        </w:rPr>
        <w:object w:dxaOrig="639" w:dyaOrig="580" w14:anchorId="713C5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>
            <v:imagedata r:id="rId7" o:title=""/>
          </v:shape>
          <o:OLEObject Type="Embed" ProgID="Equation.DSMT4" ShapeID="_x0000_i1025" DrawAspect="Content" ObjectID="_1629612640" r:id="rId8"/>
        </w:object>
      </w:r>
    </w:p>
    <w:p w14:paraId="2705952C" w14:textId="77777777" w:rsidR="005C7321" w:rsidRPr="00250A52" w:rsidRDefault="005C7321" w:rsidP="00E32BF6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Die Fläche unter der Parabel wird durch Rechtecke </w:t>
      </w:r>
      <w:r>
        <w:rPr>
          <w:color w:val="FF0000"/>
        </w:rPr>
        <w:t xml:space="preserve">einbeschrieben </w:t>
      </w:r>
      <w:r>
        <w:t xml:space="preserve">und </w:t>
      </w:r>
      <w:r>
        <w:rPr>
          <w:color w:val="00FF00"/>
        </w:rPr>
        <w:t>umbeschrieben</w:t>
      </w:r>
      <w:r>
        <w:t>.</w:t>
      </w:r>
    </w:p>
    <w:p w14:paraId="1C386EEF" w14:textId="77777777" w:rsidR="005C7321" w:rsidRPr="00DE2BE2" w:rsidRDefault="005C7321" w:rsidP="00E32BF6">
      <w:pPr>
        <w:numPr>
          <w:ilvl w:val="0"/>
          <w:numId w:val="17"/>
        </w:numPr>
        <w:jc w:val="both"/>
        <w:rPr>
          <w:color w:val="000000"/>
        </w:rPr>
      </w:pPr>
      <w:r>
        <w:t xml:space="preserve">Man bildet die </w:t>
      </w:r>
      <w:r>
        <w:rPr>
          <w:color w:val="FF0000"/>
        </w:rPr>
        <w:t>Untersumme</w:t>
      </w:r>
      <w:r>
        <w:t xml:space="preserve"> und die </w:t>
      </w:r>
      <w:r>
        <w:rPr>
          <w:color w:val="00FF00"/>
        </w:rPr>
        <w:t>Obersumme</w:t>
      </w:r>
      <w:r>
        <w:t>.</w:t>
      </w:r>
    </w:p>
    <w:p w14:paraId="3C049846" w14:textId="77777777" w:rsidR="005C7321" w:rsidRDefault="005C7321" w:rsidP="00E32BF6">
      <w:pPr>
        <w:numPr>
          <w:ilvl w:val="0"/>
          <w:numId w:val="17"/>
        </w:numPr>
        <w:jc w:val="both"/>
      </w:pPr>
      <w:r>
        <w:t>Der tatsächliche Flächeninhalt liegt dann zwischen diesen beiden Zahlen. Je mehr Teilintervalle es gibt, desto genauer ist die Näherung.</w:t>
      </w:r>
    </w:p>
    <w:p w14:paraId="175279EB" w14:textId="77777777" w:rsidR="005C7321" w:rsidRDefault="005C7321" w:rsidP="00E32BF6">
      <w:pPr>
        <w:jc w:val="both"/>
      </w:pPr>
    </w:p>
    <w:p w14:paraId="521BE098" w14:textId="77777777" w:rsidR="005C7321" w:rsidRDefault="005C7321" w:rsidP="00E32BF6">
      <w:pPr>
        <w:jc w:val="both"/>
      </w:pPr>
      <w:r>
        <w:t>Es ist:</w:t>
      </w:r>
    </w:p>
    <w:p w14:paraId="12841837" w14:textId="77777777" w:rsidR="005C7321" w:rsidRDefault="00E32BF6" w:rsidP="00E32BF6">
      <w:pPr>
        <w:jc w:val="both"/>
        <w:rPr>
          <w:color w:val="000000"/>
        </w:rPr>
      </w:pPr>
      <w:r w:rsidRPr="00E32BF6">
        <w:rPr>
          <w:color w:val="000000"/>
          <w:position w:val="-10"/>
        </w:rPr>
        <w:object w:dxaOrig="580" w:dyaOrig="320" w14:anchorId="32B68282">
          <v:shape id="_x0000_i1026" type="#_x0000_t75" style="width:28.5pt;height:15.75pt" o:ole="">
            <v:imagedata r:id="rId9" o:title=""/>
          </v:shape>
          <o:OLEObject Type="Embed" ProgID="Equation.DSMT4" ShapeID="_x0000_i1026" DrawAspect="Content" ObjectID="_1629612641" r:id="rId10"/>
        </w:object>
      </w:r>
      <w:r w:rsidR="005C7321">
        <w:rPr>
          <w:color w:val="000000"/>
        </w:rPr>
        <w:t xml:space="preserve">; </w:t>
      </w:r>
      <w:r w:rsidRPr="00E32BF6">
        <w:rPr>
          <w:color w:val="000000"/>
          <w:position w:val="-22"/>
        </w:rPr>
        <w:object w:dxaOrig="800" w:dyaOrig="580" w14:anchorId="1EB987E0">
          <v:shape id="_x0000_i1027" type="#_x0000_t75" style="width:39.75pt;height:28.5pt" o:ole="">
            <v:imagedata r:id="rId11" o:title=""/>
          </v:shape>
          <o:OLEObject Type="Embed" ProgID="Equation.DSMT4" ShapeID="_x0000_i1027" DrawAspect="Content" ObjectID="_1629612642" r:id="rId12"/>
        </w:object>
      </w:r>
      <w:r w:rsidR="005C7321">
        <w:rPr>
          <w:color w:val="000000"/>
        </w:rPr>
        <w:t xml:space="preserve">; </w:t>
      </w:r>
      <w:r w:rsidRPr="00E32BF6">
        <w:rPr>
          <w:color w:val="000000"/>
          <w:position w:val="-22"/>
        </w:rPr>
        <w:object w:dxaOrig="800" w:dyaOrig="580" w14:anchorId="4E9E5D43">
          <v:shape id="_x0000_i1028" type="#_x0000_t75" style="width:39.75pt;height:28.5pt" o:ole="">
            <v:imagedata r:id="rId13" o:title=""/>
          </v:shape>
          <o:OLEObject Type="Embed" ProgID="Equation.DSMT4" ShapeID="_x0000_i1028" DrawAspect="Content" ObjectID="_1629612643" r:id="rId14"/>
        </w:object>
      </w:r>
      <w:r w:rsidR="005C7321">
        <w:rPr>
          <w:color w:val="000000"/>
        </w:rPr>
        <w:t>; … ;</w:t>
      </w:r>
      <w:r w:rsidRPr="00E32BF6">
        <w:rPr>
          <w:color w:val="000000"/>
          <w:position w:val="-22"/>
        </w:rPr>
        <w:object w:dxaOrig="1400" w:dyaOrig="580" w14:anchorId="2C6CB8B8">
          <v:shape id="_x0000_i1029" type="#_x0000_t75" style="width:69.75pt;height:28.5pt" o:ole="">
            <v:imagedata r:id="rId15" o:title=""/>
          </v:shape>
          <o:OLEObject Type="Embed" ProgID="Equation.DSMT4" ShapeID="_x0000_i1029" DrawAspect="Content" ObjectID="_1629612644" r:id="rId16"/>
        </w:object>
      </w:r>
      <w:r w:rsidR="005C7321">
        <w:rPr>
          <w:color w:val="000000"/>
        </w:rPr>
        <w:t>;</w:t>
      </w:r>
      <w:r w:rsidRPr="00E32BF6">
        <w:rPr>
          <w:color w:val="000000"/>
          <w:position w:val="-22"/>
        </w:rPr>
        <w:object w:dxaOrig="800" w:dyaOrig="580" w14:anchorId="61F73B77">
          <v:shape id="_x0000_i1030" type="#_x0000_t75" style="width:39.75pt;height:28.5pt" o:ole="">
            <v:imagedata r:id="rId17" o:title=""/>
          </v:shape>
          <o:OLEObject Type="Embed" ProgID="Equation.DSMT4" ShapeID="_x0000_i1030" DrawAspect="Content" ObjectID="_1629612645" r:id="rId18"/>
        </w:object>
      </w:r>
      <w:r w:rsidR="005C7321">
        <w:rPr>
          <w:color w:val="000000"/>
        </w:rPr>
        <w:t>;</w:t>
      </w:r>
    </w:p>
    <w:p w14:paraId="70A1A628" w14:textId="77777777" w:rsidR="005C7321" w:rsidRDefault="005C7321" w:rsidP="00E32BF6">
      <w:pPr>
        <w:jc w:val="both"/>
        <w:rPr>
          <w:color w:val="000000"/>
        </w:rPr>
      </w:pPr>
    </w:p>
    <w:p w14:paraId="047044DF" w14:textId="77777777" w:rsidR="005C7321" w:rsidRDefault="005C7321" w:rsidP="00E32BF6">
      <w:pPr>
        <w:jc w:val="both"/>
        <w:rPr>
          <w:color w:val="000000"/>
        </w:rPr>
      </w:pPr>
      <w:r>
        <w:rPr>
          <w:color w:val="000000"/>
        </w:rPr>
        <w:t>Dann gilt:</w:t>
      </w:r>
    </w:p>
    <w:p w14:paraId="620EC7B2" w14:textId="77777777" w:rsidR="005C7321" w:rsidRDefault="00E32BF6" w:rsidP="00E32BF6">
      <w:pPr>
        <w:jc w:val="both"/>
        <w:rPr>
          <w:color w:val="000000"/>
        </w:rPr>
      </w:pPr>
      <w:r w:rsidRPr="008C59A8">
        <w:rPr>
          <w:color w:val="000000"/>
          <w:position w:val="-12"/>
        </w:rPr>
        <w:object w:dxaOrig="859" w:dyaOrig="360" w14:anchorId="64B12F27">
          <v:shape id="_x0000_i1031" type="#_x0000_t75" style="width:42.75pt;height:18pt" o:ole="">
            <v:imagedata r:id="rId19" o:title=""/>
          </v:shape>
          <o:OLEObject Type="Embed" ProgID="Equation.DSMT4" ShapeID="_x0000_i1031" DrawAspect="Content" ObjectID="_1629612646" r:id="rId20"/>
        </w:object>
      </w:r>
      <w:r w:rsidR="005C7321">
        <w:rPr>
          <w:color w:val="000000"/>
        </w:rPr>
        <w:t xml:space="preserve">; </w:t>
      </w:r>
      <w:r w:rsidRPr="008C59A8">
        <w:rPr>
          <w:color w:val="000000"/>
          <w:position w:val="-24"/>
        </w:rPr>
        <w:object w:dxaOrig="1260" w:dyaOrig="639" w14:anchorId="7C6ACCB9">
          <v:shape id="_x0000_i1032" type="#_x0000_t75" style="width:63pt;height:32.25pt" o:ole="">
            <v:imagedata r:id="rId21" o:title=""/>
          </v:shape>
          <o:OLEObject Type="Embed" ProgID="Equation.DSMT4" ShapeID="_x0000_i1032" DrawAspect="Content" ObjectID="_1629612647" r:id="rId22"/>
        </w:object>
      </w:r>
      <w:r w:rsidR="005C7321">
        <w:rPr>
          <w:color w:val="000000"/>
        </w:rPr>
        <w:t xml:space="preserve">; </w:t>
      </w:r>
      <w:r w:rsidRPr="008C59A8">
        <w:rPr>
          <w:color w:val="000000"/>
          <w:position w:val="-24"/>
        </w:rPr>
        <w:object w:dxaOrig="1260" w:dyaOrig="639" w14:anchorId="283CC214">
          <v:shape id="_x0000_i1033" type="#_x0000_t75" style="width:63pt;height:32.25pt" o:ole="">
            <v:imagedata r:id="rId23" o:title=""/>
          </v:shape>
          <o:OLEObject Type="Embed" ProgID="Equation.DSMT4" ShapeID="_x0000_i1033" DrawAspect="Content" ObjectID="_1629612648" r:id="rId24"/>
        </w:object>
      </w:r>
      <w:r w:rsidR="005C7321">
        <w:rPr>
          <w:color w:val="000000"/>
        </w:rPr>
        <w:t xml:space="preserve">; … ; </w:t>
      </w:r>
      <w:r w:rsidRPr="008C59A8">
        <w:rPr>
          <w:color w:val="000000"/>
          <w:position w:val="-24"/>
        </w:rPr>
        <w:object w:dxaOrig="1860" w:dyaOrig="639" w14:anchorId="3DEE5042">
          <v:shape id="_x0000_i1034" type="#_x0000_t75" style="width:93pt;height:32.25pt" o:ole="">
            <v:imagedata r:id="rId25" o:title=""/>
          </v:shape>
          <o:OLEObject Type="Embed" ProgID="Equation.DSMT4" ShapeID="_x0000_i1034" DrawAspect="Content" ObjectID="_1629612649" r:id="rId26"/>
        </w:object>
      </w:r>
      <w:r w:rsidR="005C7321">
        <w:rPr>
          <w:color w:val="000000"/>
        </w:rPr>
        <w:t xml:space="preserve">; </w:t>
      </w:r>
      <w:r w:rsidRPr="008C59A8">
        <w:rPr>
          <w:color w:val="000000"/>
          <w:position w:val="-24"/>
        </w:rPr>
        <w:object w:dxaOrig="1260" w:dyaOrig="639" w14:anchorId="7A89C964">
          <v:shape id="_x0000_i1035" type="#_x0000_t75" style="width:63pt;height:32.25pt" o:ole="">
            <v:imagedata r:id="rId27" o:title=""/>
          </v:shape>
          <o:OLEObject Type="Embed" ProgID="Equation.DSMT4" ShapeID="_x0000_i1035" DrawAspect="Content" ObjectID="_1629612650" r:id="rId28"/>
        </w:object>
      </w:r>
      <w:r w:rsidR="005C7321">
        <w:rPr>
          <w:color w:val="000000"/>
        </w:rPr>
        <w:t>;</w:t>
      </w:r>
    </w:p>
    <w:p w14:paraId="6C0FE9B4" w14:textId="77777777" w:rsidR="005C7321" w:rsidRDefault="005C7321" w:rsidP="00E32BF6">
      <w:pPr>
        <w:jc w:val="both"/>
        <w:rPr>
          <w:color w:val="000000"/>
        </w:rPr>
      </w:pPr>
    </w:p>
    <w:p w14:paraId="398589C3" w14:textId="77777777" w:rsidR="005C7321" w:rsidRDefault="005C7321" w:rsidP="00E32BF6">
      <w:pPr>
        <w:jc w:val="both"/>
      </w:pPr>
      <w:r>
        <w:rPr>
          <w:color w:val="000000"/>
        </w:rPr>
        <w:t xml:space="preserve">Berechnung der unteren Treppenfigur </w:t>
      </w:r>
      <w:r>
        <w:rPr>
          <w:color w:val="FF0000"/>
        </w:rPr>
        <w:t>(Untersumme)</w:t>
      </w:r>
      <w:r>
        <w:t>:</w:t>
      </w:r>
    </w:p>
    <w:p w14:paraId="5302E2EB" w14:textId="77777777" w:rsidR="005C7321" w:rsidRDefault="00E32BF6" w:rsidP="00E32BF6">
      <w:pPr>
        <w:jc w:val="both"/>
      </w:pPr>
      <w:r w:rsidRPr="00E32BF6">
        <w:rPr>
          <w:position w:val="-152"/>
        </w:rPr>
        <w:object w:dxaOrig="3879" w:dyaOrig="2900" w14:anchorId="1300043B">
          <v:shape id="_x0000_i1036" type="#_x0000_t75" style="width:194.25pt;height:145.5pt" o:ole="">
            <v:imagedata r:id="rId29" o:title=""/>
          </v:shape>
          <o:OLEObject Type="Embed" ProgID="Equation.DSMT4" ShapeID="_x0000_i1036" DrawAspect="Content" ObjectID="_1629612651" r:id="rId30"/>
        </w:object>
      </w:r>
      <w:r w:rsidR="005C7321">
        <w:tab/>
      </w:r>
      <w:r w:rsidR="005C7321">
        <w:tab/>
      </w:r>
      <w:r w:rsidR="00D211E4" w:rsidRPr="00051A55">
        <w:rPr>
          <w:position w:val="-28"/>
        </w:rPr>
        <w:object w:dxaOrig="2260" w:dyaOrig="680" w14:anchorId="02AF0B80">
          <v:shape id="_x0000_i1037" type="#_x0000_t75" style="width:92.25pt;height:27.75pt" o:ole="">
            <v:imagedata r:id="rId31" o:title=""/>
          </v:shape>
          <o:OLEObject Type="Embed" ProgID="Equation.DSMT4" ShapeID="_x0000_i1037" DrawAspect="Content" ObjectID="_1629612652" r:id="rId32"/>
        </w:object>
      </w:r>
    </w:p>
    <w:p w14:paraId="30C82C7C" w14:textId="77777777" w:rsidR="00D211E4" w:rsidRDefault="00D211E4" w:rsidP="00E32BF6">
      <w:pPr>
        <w:jc w:val="both"/>
      </w:pPr>
    </w:p>
    <w:p w14:paraId="09261FBF" w14:textId="77777777" w:rsidR="00B40FFA" w:rsidRDefault="00B40FFA">
      <w:pPr>
        <w:rPr>
          <w:color w:val="000000"/>
        </w:rPr>
      </w:pPr>
      <w:r>
        <w:rPr>
          <w:color w:val="000000"/>
        </w:rPr>
        <w:br w:type="page"/>
      </w:r>
    </w:p>
    <w:p w14:paraId="7FB578D6" w14:textId="0FC4BA27" w:rsidR="005C7321" w:rsidRDefault="005C7321" w:rsidP="00E32BF6">
      <w:pPr>
        <w:jc w:val="both"/>
      </w:pPr>
      <w:bookmarkStart w:id="3" w:name="_GoBack"/>
      <w:bookmarkEnd w:id="3"/>
      <w:r>
        <w:rPr>
          <w:color w:val="000000"/>
        </w:rPr>
        <w:lastRenderedPageBreak/>
        <w:t xml:space="preserve">Berechnung der oberen Treppenfigur </w:t>
      </w:r>
      <w:r w:rsidRPr="00051A55">
        <w:rPr>
          <w:color w:val="00FF00"/>
        </w:rPr>
        <w:t>(</w:t>
      </w:r>
      <w:r>
        <w:rPr>
          <w:color w:val="00FF00"/>
        </w:rPr>
        <w:t>Ober</w:t>
      </w:r>
      <w:r w:rsidRPr="00051A55">
        <w:rPr>
          <w:color w:val="00FF00"/>
        </w:rPr>
        <w:t>summe)</w:t>
      </w:r>
      <w:r>
        <w:t>:</w:t>
      </w:r>
    </w:p>
    <w:p w14:paraId="6FE9A91E" w14:textId="77777777" w:rsidR="005C7321" w:rsidRDefault="0055421C" w:rsidP="00E32BF6">
      <w:pPr>
        <w:jc w:val="both"/>
      </w:pPr>
      <w:r w:rsidRPr="00E32BF6">
        <w:rPr>
          <w:position w:val="-152"/>
        </w:rPr>
        <w:object w:dxaOrig="3580" w:dyaOrig="2940" w14:anchorId="0AD1A39B">
          <v:shape id="_x0000_i1038" type="#_x0000_t75" style="width:178.5pt;height:147pt" o:ole="">
            <v:imagedata r:id="rId33" o:title=""/>
          </v:shape>
          <o:OLEObject Type="Embed" ProgID="Equation.DSMT4" ShapeID="_x0000_i1038" DrawAspect="Content" ObjectID="_1629612653" r:id="rId34"/>
        </w:object>
      </w:r>
      <w:r w:rsidR="005C7321">
        <w:tab/>
      </w:r>
      <w:r w:rsidR="005C7321">
        <w:tab/>
      </w:r>
      <w:r w:rsidR="00D211E4" w:rsidRPr="00051A55">
        <w:rPr>
          <w:position w:val="-28"/>
        </w:rPr>
        <w:object w:dxaOrig="2280" w:dyaOrig="680" w14:anchorId="277E35DF">
          <v:shape id="_x0000_i1039" type="#_x0000_t75" style="width:99.75pt;height:29.25pt" o:ole="">
            <v:imagedata r:id="rId35" o:title=""/>
          </v:shape>
          <o:OLEObject Type="Embed" ProgID="Equation.DSMT4" ShapeID="_x0000_i1039" DrawAspect="Content" ObjectID="_1629612654" r:id="rId36"/>
        </w:object>
      </w:r>
    </w:p>
    <w:p w14:paraId="7209DC01" w14:textId="77777777" w:rsidR="005C7321" w:rsidRDefault="005C7321" w:rsidP="00E32BF6">
      <w:pPr>
        <w:jc w:val="both"/>
      </w:pPr>
    </w:p>
    <w:p w14:paraId="7F4A1928" w14:textId="77777777" w:rsidR="005C7321" w:rsidRDefault="005C7321" w:rsidP="00E32BF6">
      <w:pPr>
        <w:jc w:val="both"/>
      </w:pPr>
      <w:r>
        <w:t>Es gilt:</w:t>
      </w:r>
    </w:p>
    <w:p w14:paraId="58B40B0A" w14:textId="77777777" w:rsidR="005C7321" w:rsidRDefault="00E32BF6" w:rsidP="00E32BF6">
      <w:pPr>
        <w:jc w:val="both"/>
      </w:pPr>
      <w:r w:rsidRPr="00E32BF6">
        <w:rPr>
          <w:position w:val="-46"/>
        </w:rPr>
        <w:object w:dxaOrig="3360" w:dyaOrig="1040" w14:anchorId="2FE56735">
          <v:shape id="_x0000_i1040" type="#_x0000_t75" style="width:168pt;height:52.5pt" o:ole="">
            <v:imagedata r:id="rId37" o:title=""/>
          </v:shape>
          <o:OLEObject Type="Embed" ProgID="Equation.DSMT4" ShapeID="_x0000_i1040" DrawAspect="Content" ObjectID="_1629612655" r:id="rId38"/>
        </w:object>
      </w:r>
    </w:p>
    <w:p w14:paraId="0E18740C" w14:textId="77777777" w:rsidR="005C7321" w:rsidRDefault="005C7321" w:rsidP="00E32BF6">
      <w:pPr>
        <w:jc w:val="both"/>
      </w:pPr>
    </w:p>
    <w:p w14:paraId="5B28BC09" w14:textId="77777777" w:rsidR="005C7321" w:rsidRDefault="005C7321" w:rsidP="00E32BF6">
      <w:pPr>
        <w:jc w:val="both"/>
      </w:pPr>
      <w:r>
        <w:t xml:space="preserve">Die Annäherung wird umso genauer, je mehr Teilintervalle es gibt. Wir bilden für </w:t>
      </w:r>
      <w:r w:rsidR="00E32BF6" w:rsidRPr="009E5FCE">
        <w:rPr>
          <w:position w:val="-6"/>
        </w:rPr>
        <w:object w:dxaOrig="620" w:dyaOrig="220" w14:anchorId="0EB522C4">
          <v:shape id="_x0000_i1041" type="#_x0000_t75" style="width:30.75pt;height:11.25pt" o:ole="">
            <v:imagedata r:id="rId39" o:title=""/>
          </v:shape>
          <o:OLEObject Type="Embed" ProgID="Equation.DSMT4" ShapeID="_x0000_i1041" DrawAspect="Content" ObjectID="_1629612656" r:id="rId40"/>
        </w:object>
      </w:r>
      <w:r>
        <w:t xml:space="preserve"> den Grenzwert und erhalten</w:t>
      </w:r>
    </w:p>
    <w:p w14:paraId="44C290A4" w14:textId="77777777" w:rsidR="005C7321" w:rsidRDefault="00E32BF6" w:rsidP="00E32BF6">
      <w:pPr>
        <w:jc w:val="both"/>
      </w:pPr>
      <w:r w:rsidRPr="00E32BF6">
        <w:rPr>
          <w:position w:val="-22"/>
        </w:rPr>
        <w:object w:dxaOrig="639" w:dyaOrig="620" w14:anchorId="560369C1">
          <v:shape id="_x0000_i1042" type="#_x0000_t75" style="width:32.25pt;height:30.75pt" o:ole="">
            <v:imagedata r:id="rId41" o:title=""/>
          </v:shape>
          <o:OLEObject Type="Embed" ProgID="Equation.DSMT4" ShapeID="_x0000_i1042" DrawAspect="Content" ObjectID="_1629612657" r:id="rId42"/>
        </w:object>
      </w:r>
      <w:r w:rsidR="005C7321">
        <w:t>.</w:t>
      </w:r>
    </w:p>
    <w:p w14:paraId="7733C894" w14:textId="77777777" w:rsidR="005C7321" w:rsidRDefault="005C7321" w:rsidP="00E32BF6">
      <w:pPr>
        <w:jc w:val="both"/>
      </w:pPr>
    </w:p>
    <w:p w14:paraId="18A2D047" w14:textId="77777777" w:rsidR="005C7321" w:rsidRDefault="005C7321" w:rsidP="00E32BF6">
      <w:pPr>
        <w:jc w:val="both"/>
      </w:pPr>
      <w:r>
        <w:t>Beispiel:</w:t>
      </w:r>
    </w:p>
    <w:p w14:paraId="391CE6AC" w14:textId="77777777" w:rsidR="005C7321" w:rsidRDefault="00E32BF6" w:rsidP="00E32BF6">
      <w:pPr>
        <w:jc w:val="both"/>
      </w:pPr>
      <w:r w:rsidRPr="00E32BF6">
        <w:rPr>
          <w:position w:val="-32"/>
        </w:rPr>
        <w:object w:dxaOrig="740" w:dyaOrig="740" w14:anchorId="5BFD05ED">
          <v:shape id="_x0000_i1043" type="#_x0000_t75" style="width:37.5pt;height:36.75pt" o:ole="">
            <v:imagedata r:id="rId43" o:title=""/>
          </v:shape>
          <o:OLEObject Type="Embed" ProgID="Equation.DSMT4" ShapeID="_x0000_i1043" DrawAspect="Content" ObjectID="_1629612658" r:id="rId44"/>
        </w:object>
      </w:r>
      <w:r w:rsidR="005C7321">
        <w:tab/>
      </w:r>
      <w:r w:rsidR="005C7321">
        <w:tab/>
      </w:r>
      <w:r w:rsidR="005C7321">
        <w:tab/>
      </w:r>
      <w:r w:rsidRPr="00E32BF6">
        <w:rPr>
          <w:position w:val="-40"/>
        </w:rPr>
        <w:object w:dxaOrig="639" w:dyaOrig="900" w14:anchorId="14D935C2">
          <v:shape id="_x0000_i1044" type="#_x0000_t75" style="width:31.5pt;height:45pt" o:ole="">
            <v:imagedata r:id="rId45" o:title=""/>
          </v:shape>
          <o:OLEObject Type="Embed" ProgID="Equation.DSMT4" ShapeID="_x0000_i1044" DrawAspect="Content" ObjectID="_1629612659" r:id="rId46"/>
        </w:object>
      </w:r>
    </w:p>
    <w:p w14:paraId="24CA14C6" w14:textId="77777777" w:rsidR="005C7321" w:rsidRDefault="005C7321" w:rsidP="00E32BF6">
      <w:pPr>
        <w:jc w:val="both"/>
      </w:pPr>
    </w:p>
    <w:p w14:paraId="778BC3EC" w14:textId="77777777" w:rsidR="00066C46" w:rsidRPr="00066C46" w:rsidRDefault="00066C46" w:rsidP="005C7321">
      <w:r>
        <w:t xml:space="preserve">Man kann also mit </w:t>
      </w:r>
      <w:r w:rsidRPr="00066C46">
        <w:rPr>
          <w:position w:val="-22"/>
        </w:rPr>
        <w:object w:dxaOrig="1160" w:dyaOrig="580" w14:anchorId="6BF01317">
          <v:shape id="_x0000_i1045" type="#_x0000_t75" style="width:57.75pt;height:29.25pt" o:ole="">
            <v:imagedata r:id="rId47" o:title=""/>
          </v:shape>
          <o:OLEObject Type="Embed" ProgID="Equation.DSMT4" ShapeID="_x0000_i1045" DrawAspect="Content" ObjectID="_1629612660" r:id="rId48"/>
        </w:object>
      </w:r>
      <w:r>
        <w:t xml:space="preserve"> die Fläche unter der Funktion f(x) = x</w:t>
      </w:r>
      <w:r>
        <w:rPr>
          <w:vertAlign w:val="superscript"/>
        </w:rPr>
        <w:t>2</w:t>
      </w:r>
      <w:r>
        <w:t xml:space="preserve"> für jedes Intervall [0; x] bestimmen. Man nennt </w:t>
      </w:r>
      <w:r w:rsidRPr="00066C46">
        <w:rPr>
          <w:position w:val="-12"/>
        </w:rPr>
        <w:object w:dxaOrig="620" w:dyaOrig="360" w14:anchorId="74193B5C">
          <v:shape id="_x0000_i1046" type="#_x0000_t75" style="width:30.75pt;height:18pt" o:ole="">
            <v:imagedata r:id="rId49" o:title=""/>
          </v:shape>
          <o:OLEObject Type="Embed" ProgID="Equation.DSMT4" ShapeID="_x0000_i1046" DrawAspect="Content" ObjectID="_1629612661" r:id="rId50"/>
        </w:object>
      </w:r>
      <w:r>
        <w:t xml:space="preserve"> die Flächeninhaltsfunktion.</w:t>
      </w:r>
    </w:p>
    <w:p w14:paraId="47E82653" w14:textId="77777777" w:rsidR="00066C46" w:rsidRDefault="00066C46" w:rsidP="005C7321"/>
    <w:p w14:paraId="4DC9FB93" w14:textId="3E880D9B" w:rsidR="00D211E4" w:rsidRPr="00B81317" w:rsidRDefault="00D211E4" w:rsidP="00B40FFA">
      <w:pPr>
        <w:rPr>
          <w:color w:val="00B0F0"/>
          <w:sz w:val="20"/>
        </w:rPr>
      </w:pPr>
    </w:p>
    <w:sectPr w:rsidR="00D211E4" w:rsidRPr="00B81317" w:rsidSect="00B40FF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174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21C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2BC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8B9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FF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141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2E9F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624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97A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3758-056A-4965-8F01-651D1C5C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2019-08-12T15:19:00Z</cp:lastPrinted>
  <dcterms:created xsi:type="dcterms:W3CDTF">2019-09-10T07:24:00Z</dcterms:created>
  <dcterms:modified xsi:type="dcterms:W3CDTF">2019-09-10T07:24:00Z</dcterms:modified>
</cp:coreProperties>
</file>