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7" w:rsidRPr="005622F3" w:rsidRDefault="000F6DDF" w:rsidP="00186B98">
      <w:pPr>
        <w:pStyle w:val="berschrift1"/>
        <w:numPr>
          <w:ilvl w:val="0"/>
          <w:numId w:val="0"/>
        </w:numPr>
        <w:rPr>
          <w:rFonts w:ascii="Calibri" w:hAnsi="Calibri"/>
          <w:szCs w:val="22"/>
        </w:rPr>
      </w:pPr>
      <w:bookmarkStart w:id="0" w:name="_Toc201053040"/>
      <w:r>
        <w:rPr>
          <w:rFonts w:ascii="Calibri" w:hAnsi="Calibri"/>
          <w:szCs w:val="22"/>
        </w:rPr>
        <w:t xml:space="preserve">2. Logische Schaltungen </w:t>
      </w:r>
    </w:p>
    <w:p w:rsidR="00C30F97" w:rsidRDefault="00C30F97" w:rsidP="00C30F97"/>
    <w:p w:rsidR="00186B98" w:rsidRDefault="000F6DDF" w:rsidP="00186B98">
      <w:pPr>
        <w:pStyle w:val="berschrift2"/>
        <w:numPr>
          <w:ilvl w:val="0"/>
          <w:numId w:val="0"/>
        </w:numPr>
      </w:pPr>
      <w:r>
        <w:t xml:space="preserve">2.1. Logische </w:t>
      </w:r>
      <w:r w:rsidR="00416A83">
        <w:t>Gatter</w:t>
      </w:r>
    </w:p>
    <w:p w:rsidR="00186B98" w:rsidRDefault="00186B98" w:rsidP="00C30F97"/>
    <w:p w:rsidR="00186B98" w:rsidRDefault="000F6DDF" w:rsidP="00186B98">
      <w:pPr>
        <w:pStyle w:val="berschrift3"/>
        <w:numPr>
          <w:ilvl w:val="0"/>
          <w:numId w:val="0"/>
        </w:numPr>
      </w:pPr>
      <w:r>
        <w:t>2.1.1. D</w:t>
      </w:r>
      <w:r w:rsidR="00471B92">
        <w:t>a</w:t>
      </w:r>
      <w:r w:rsidR="00E939BB">
        <w:t>s AND-</w:t>
      </w:r>
      <w:r>
        <w:t>Gatter</w:t>
      </w:r>
    </w:p>
    <w:p w:rsidR="00361CF8" w:rsidRDefault="00361CF8" w:rsidP="00C30F97"/>
    <w:p w:rsidR="00471B92" w:rsidRDefault="00471B92" w:rsidP="00471B92">
      <w:pPr>
        <w:jc w:val="both"/>
      </w:pPr>
      <w:r>
        <w:t>Die Logischen Gatter bilden die Grundbausteine eines Computers. Diese b</w:t>
      </w:r>
      <w:r>
        <w:t>e</w:t>
      </w:r>
      <w:r>
        <w:t>stehen aus Transistoren, welche als Schalter fungieren und aus Widerständen. Die Logischen Gatter verarbeiten Eingabesign</w:t>
      </w:r>
      <w:r>
        <w:t>a</w:t>
      </w:r>
      <w:r>
        <w:t>le nach einem logischen Prinzip zu Ausgabesignale und leiten diese weiter.</w:t>
      </w:r>
    </w:p>
    <w:p w:rsidR="00471B92" w:rsidRDefault="00471B92" w:rsidP="00471B92">
      <w:pPr>
        <w:jc w:val="both"/>
      </w:pPr>
      <w:r>
        <w:t xml:space="preserve">Mit Logikgattern werden </w:t>
      </w:r>
      <w:proofErr w:type="spellStart"/>
      <w:r>
        <w:t>Boolsche</w:t>
      </w:r>
      <w:proofErr w:type="spellEnd"/>
      <w:r>
        <w:t xml:space="preserve"> Funktionen realisiert.</w:t>
      </w:r>
    </w:p>
    <w:p w:rsidR="00471B92" w:rsidRDefault="00471B92" w:rsidP="00C30F97"/>
    <w:bookmarkEnd w:id="0"/>
    <w:p w:rsidR="00E41132" w:rsidRDefault="00E41132" w:rsidP="00361CF8">
      <w:pPr>
        <w:pStyle w:val="Merksatz"/>
      </w:pPr>
      <w:r>
        <w:sym w:font="Marlett" w:char="F034"/>
      </w:r>
      <w:r w:rsidR="00471B92">
        <w:t xml:space="preserve">Das Ergebnis einer UND Funktion wird </w:t>
      </w:r>
      <w:proofErr w:type="spellStart"/>
      <w:r w:rsidR="00471B92">
        <w:t>true</w:t>
      </w:r>
      <w:proofErr w:type="spellEnd"/>
      <w:r w:rsidR="00471B92">
        <w:t xml:space="preserve">, wenn alle Eingangsvariablen </w:t>
      </w:r>
      <w:proofErr w:type="spellStart"/>
      <w:r w:rsidR="00471B92">
        <w:t>true</w:t>
      </w:r>
      <w:proofErr w:type="spellEnd"/>
      <w:r w:rsidR="00471B92">
        <w:t xml:space="preserve"> sind.</w:t>
      </w:r>
      <w:r w:rsidR="00570219">
        <w:t xml:space="preserve"> </w:t>
      </w:r>
      <w:r w:rsidR="00471B92">
        <w:t>Der Ausgan</w:t>
      </w:r>
      <w:r w:rsidR="00471B92">
        <w:t>g</w:t>
      </w:r>
      <w:r w:rsidR="00471B92">
        <w:t>zustand eines UND-Glieds liefert 1, wenn alle Ei</w:t>
      </w:r>
      <w:r w:rsidR="00471B92">
        <w:t>n</w:t>
      </w:r>
      <w:r w:rsidR="00471B92">
        <w:t>gangszustände 1 sind.</w:t>
      </w:r>
    </w:p>
    <w:p w:rsidR="00E41132" w:rsidRDefault="00E41132" w:rsidP="00E41132"/>
    <w:tbl>
      <w:tblPr>
        <w:tblStyle w:val="Tabellengitternetz"/>
        <w:tblW w:w="7196" w:type="dxa"/>
        <w:tblLook w:val="04A0"/>
      </w:tblPr>
      <w:tblGrid>
        <w:gridCol w:w="2291"/>
        <w:gridCol w:w="2214"/>
        <w:gridCol w:w="2691"/>
      </w:tblGrid>
      <w:tr w:rsidR="009034AB" w:rsidTr="009034AB">
        <w:tc>
          <w:tcPr>
            <w:tcW w:w="2398" w:type="dxa"/>
          </w:tcPr>
          <w:p w:rsidR="009034AB" w:rsidRDefault="009034AB" w:rsidP="00E41132">
            <w:r>
              <w:t>Schaltzeichen</w:t>
            </w:r>
          </w:p>
        </w:tc>
        <w:tc>
          <w:tcPr>
            <w:tcW w:w="2399" w:type="dxa"/>
          </w:tcPr>
          <w:p w:rsidR="009034AB" w:rsidRDefault="009034AB" w:rsidP="00E41132">
            <w:r>
              <w:t>Funktionsgleichung</w:t>
            </w:r>
          </w:p>
        </w:tc>
        <w:tc>
          <w:tcPr>
            <w:tcW w:w="2399" w:type="dxa"/>
          </w:tcPr>
          <w:p w:rsidR="009034AB" w:rsidRDefault="009034AB" w:rsidP="00E41132">
            <w:r>
              <w:t>Wahrheitswertetabelle</w:t>
            </w:r>
          </w:p>
        </w:tc>
      </w:tr>
      <w:tr w:rsidR="009034AB" w:rsidTr="009034AB">
        <w:tc>
          <w:tcPr>
            <w:tcW w:w="2398" w:type="dxa"/>
          </w:tcPr>
          <w:p w:rsidR="000F0D6E" w:rsidRDefault="000F0D6E" w:rsidP="00E41132"/>
          <w:p w:rsidR="009034AB" w:rsidRDefault="009034AB" w:rsidP="00B97C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523875"/>
                  <wp:effectExtent l="19050" t="0" r="9525" b="0"/>
                  <wp:docPr id="8" name="Bild 8" descr="IEC AND labe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EC AND labe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:rsidR="000F0D6E" w:rsidRDefault="000F0D6E" w:rsidP="009034AB"/>
          <w:p w:rsidR="009034AB" w:rsidRDefault="003E46FA" w:rsidP="00B97CD5">
            <w:pPr>
              <w:jc w:val="center"/>
            </w:pPr>
            <w:r w:rsidRPr="009034AB">
              <w:rPr>
                <w:position w:val="-4"/>
              </w:rPr>
              <w:object w:dxaOrig="8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1.25pt" o:ole="">
                  <v:imagedata r:id="rId7" o:title=""/>
                </v:shape>
                <o:OLEObject Type="Embed" ProgID="Equation.DSMT4" ShapeID="_x0000_i1025" DrawAspect="Content" ObjectID="_1501509674" r:id="rId8"/>
              </w:object>
            </w:r>
          </w:p>
          <w:p w:rsidR="00DA77D3" w:rsidRDefault="00DA77D3" w:rsidP="00B97CD5">
            <w:pPr>
              <w:jc w:val="center"/>
            </w:pPr>
            <w:r w:rsidRPr="00DA77D3">
              <w:rPr>
                <w:position w:val="-4"/>
              </w:rPr>
              <w:object w:dxaOrig="740" w:dyaOrig="220">
                <v:shape id="_x0000_i1026" type="#_x0000_t75" style="width:36.75pt;height:11.25pt" o:ole="">
                  <v:imagedata r:id="rId9" o:title=""/>
                </v:shape>
                <o:OLEObject Type="Embed" ProgID="Equation.DSMT4" ShapeID="_x0000_i1026" DrawAspect="Content" ObjectID="_1501509675" r:id="rId10"/>
              </w:object>
            </w:r>
          </w:p>
        </w:tc>
        <w:bookmarkStart w:id="1" w:name="_MON_1484390220"/>
        <w:bookmarkEnd w:id="1"/>
        <w:tc>
          <w:tcPr>
            <w:tcW w:w="2399" w:type="dxa"/>
          </w:tcPr>
          <w:p w:rsidR="009034AB" w:rsidRDefault="00A915B3" w:rsidP="00E41132">
            <w:r>
              <w:object w:dxaOrig="2477" w:dyaOrig="1498">
                <v:shape id="_x0000_i1027" type="#_x0000_t75" style="width:123.75pt;height:75pt" o:ole="">
                  <v:imagedata r:id="rId11" o:title=""/>
                </v:shape>
                <o:OLEObject Type="Embed" ProgID="Excel.Sheet.12" ShapeID="_x0000_i1027" DrawAspect="Content" ObjectID="_1501509676" r:id="rId12"/>
              </w:object>
            </w:r>
          </w:p>
        </w:tc>
      </w:tr>
    </w:tbl>
    <w:p w:rsidR="001A79A4" w:rsidRDefault="001A79A4" w:rsidP="00E41132"/>
    <w:p w:rsidR="001A79A4" w:rsidRDefault="001A79A4" w:rsidP="00E41132"/>
    <w:sectPr w:rsidR="001A79A4" w:rsidSect="0038460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D6E"/>
    <w:rsid w:val="000F1B96"/>
    <w:rsid w:val="000F2267"/>
    <w:rsid w:val="000F45CB"/>
    <w:rsid w:val="000F4A85"/>
    <w:rsid w:val="000F6DDF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B73"/>
    <w:rsid w:val="002C1653"/>
    <w:rsid w:val="002C2280"/>
    <w:rsid w:val="002C2BA3"/>
    <w:rsid w:val="002C30DC"/>
    <w:rsid w:val="002C3F99"/>
    <w:rsid w:val="002C4339"/>
    <w:rsid w:val="002C56BE"/>
    <w:rsid w:val="002C6493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60E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50D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46FA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1EC8"/>
    <w:rsid w:val="00412AC0"/>
    <w:rsid w:val="00414065"/>
    <w:rsid w:val="0041610F"/>
    <w:rsid w:val="00416A0F"/>
    <w:rsid w:val="00416A83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B92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219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3F6E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700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0ED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4AB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5AD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74D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091"/>
    <w:rsid w:val="00A201EF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5B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97CD5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88E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7D3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4D8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9BB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95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package" Target="embeddings/Microsoft_Office_Excel-Arbeitsblat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CB76-40E9-4D4A-8EC7-78F46A0E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2015-08-19T15:14:00Z</dcterms:created>
  <dcterms:modified xsi:type="dcterms:W3CDTF">2015-08-19T15:14:00Z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